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9E2E0">
      <w:pPr>
        <w:spacing w:line="360" w:lineRule="auto"/>
        <w:jc w:val="center"/>
        <w:rPr>
          <w:rFonts w:ascii="楷体" w:hAnsi="楷体" w:eastAsia="楷体"/>
          <w:b/>
          <w:color w:val="000000"/>
          <w:sz w:val="32"/>
          <w:szCs w:val="32"/>
        </w:rPr>
      </w:pPr>
      <w:bookmarkStart w:id="0" w:name="_GoBack"/>
      <w:r>
        <w:rPr>
          <w:rFonts w:hint="eastAsia" w:ascii="楷体" w:hAnsi="楷体" w:eastAsia="楷体"/>
          <w:b/>
          <w:color w:val="000000"/>
          <w:sz w:val="32"/>
          <w:szCs w:val="32"/>
        </w:rPr>
        <w:t>安合融信匠人匠心6号私募证券投资基金基金合同补充协议（二）</w:t>
      </w:r>
      <w:bookmarkEnd w:id="0"/>
    </w:p>
    <w:p w14:paraId="39361619">
      <w:pPr>
        <w:spacing w:line="360" w:lineRule="auto"/>
        <w:jc w:val="center"/>
        <w:rPr>
          <w:rFonts w:ascii="楷体" w:hAnsi="楷体" w:eastAsia="楷体"/>
          <w:color w:val="000000"/>
          <w:sz w:val="32"/>
          <w:szCs w:val="32"/>
        </w:rPr>
      </w:pPr>
    </w:p>
    <w:p w14:paraId="6BE1723D">
      <w:pPr>
        <w:tabs>
          <w:tab w:val="left" w:pos="6096"/>
        </w:tabs>
        <w:spacing w:line="300" w:lineRule="auto"/>
        <w:rPr>
          <w:rFonts w:ascii="楷体" w:hAnsi="楷体" w:eastAsia="楷体"/>
          <w:color w:val="000000"/>
          <w:sz w:val="24"/>
        </w:rPr>
      </w:pPr>
      <w:r>
        <w:rPr>
          <w:rFonts w:ascii="楷体" w:hAnsi="楷体" w:eastAsia="楷体"/>
          <w:b/>
          <w:color w:val="000000"/>
          <w:sz w:val="24"/>
        </w:rPr>
        <w:t>本协议当事人的基本情况：</w:t>
      </w:r>
    </w:p>
    <w:p w14:paraId="32D8B8CC">
      <w:pPr>
        <w:tabs>
          <w:tab w:val="left" w:pos="6096"/>
        </w:tabs>
        <w:spacing w:line="300" w:lineRule="auto"/>
        <w:rPr>
          <w:rFonts w:ascii="楷体" w:hAnsi="楷体" w:eastAsia="楷体"/>
          <w:b/>
          <w:color w:val="000000"/>
          <w:sz w:val="24"/>
        </w:rPr>
      </w:pPr>
      <w:r>
        <w:rPr>
          <w:rFonts w:ascii="楷体" w:hAnsi="楷体" w:eastAsia="楷体"/>
          <w:b/>
          <w:color w:val="000000"/>
          <w:sz w:val="24"/>
        </w:rPr>
        <w:t xml:space="preserve">基金份额持有人: </w:t>
      </w:r>
    </w:p>
    <w:p w14:paraId="28E47256">
      <w:pPr>
        <w:tabs>
          <w:tab w:val="left" w:pos="6096"/>
        </w:tabs>
        <w:spacing w:line="300" w:lineRule="auto"/>
        <w:rPr>
          <w:rFonts w:ascii="楷体" w:hAnsi="楷体" w:eastAsia="楷体"/>
          <w:color w:val="000000"/>
          <w:sz w:val="24"/>
          <w:u w:val="single"/>
        </w:rPr>
      </w:pPr>
      <w:r>
        <w:rPr>
          <w:rFonts w:ascii="楷体" w:hAnsi="楷体" w:eastAsia="楷体"/>
          <w:color w:val="000000"/>
          <w:sz w:val="24"/>
        </w:rPr>
        <w:t xml:space="preserve">证件(营业执照)名称: </w:t>
      </w:r>
    </w:p>
    <w:p w14:paraId="0E55F112">
      <w:pPr>
        <w:tabs>
          <w:tab w:val="left" w:pos="6096"/>
        </w:tabs>
        <w:spacing w:line="300" w:lineRule="auto"/>
        <w:rPr>
          <w:rFonts w:ascii="楷体" w:hAnsi="楷体" w:eastAsia="楷体"/>
          <w:color w:val="000000"/>
          <w:sz w:val="24"/>
        </w:rPr>
      </w:pPr>
      <w:r>
        <w:rPr>
          <w:rFonts w:ascii="楷体" w:hAnsi="楷体" w:eastAsia="楷体"/>
          <w:color w:val="000000"/>
          <w:sz w:val="24"/>
        </w:rPr>
        <w:t xml:space="preserve">证件(营业执照)号码: </w:t>
      </w:r>
    </w:p>
    <w:p w14:paraId="2C438EC7">
      <w:pPr>
        <w:tabs>
          <w:tab w:val="left" w:pos="6096"/>
        </w:tabs>
        <w:spacing w:line="300" w:lineRule="auto"/>
        <w:rPr>
          <w:rFonts w:ascii="楷体" w:hAnsi="楷体" w:eastAsia="楷体"/>
          <w:color w:val="000000"/>
          <w:sz w:val="24"/>
        </w:rPr>
      </w:pPr>
      <w:r>
        <w:rPr>
          <w:rFonts w:ascii="楷体" w:hAnsi="楷体" w:eastAsia="楷体"/>
          <w:color w:val="000000"/>
          <w:sz w:val="24"/>
        </w:rPr>
        <w:t xml:space="preserve">通讯地址: </w:t>
      </w:r>
    </w:p>
    <w:p w14:paraId="6D2F461B">
      <w:pPr>
        <w:tabs>
          <w:tab w:val="left" w:pos="6096"/>
        </w:tabs>
        <w:spacing w:line="300" w:lineRule="auto"/>
        <w:rPr>
          <w:rFonts w:ascii="楷体" w:hAnsi="楷体" w:eastAsia="楷体"/>
          <w:color w:val="000000"/>
          <w:sz w:val="24"/>
        </w:rPr>
      </w:pPr>
      <w:r>
        <w:rPr>
          <w:rFonts w:ascii="楷体" w:hAnsi="楷体" w:eastAsia="楷体"/>
          <w:color w:val="000000"/>
          <w:sz w:val="24"/>
        </w:rPr>
        <w:t xml:space="preserve">邮政编码: </w:t>
      </w:r>
    </w:p>
    <w:p w14:paraId="3B18611A">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联系电话:  </w:t>
      </w:r>
    </w:p>
    <w:p w14:paraId="218BA2CF">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传真: </w:t>
      </w:r>
    </w:p>
    <w:p w14:paraId="5108B9A1">
      <w:pPr>
        <w:tabs>
          <w:tab w:val="left" w:pos="5040"/>
          <w:tab w:val="left" w:pos="5220"/>
          <w:tab w:val="left" w:pos="6096"/>
        </w:tabs>
        <w:spacing w:line="300" w:lineRule="auto"/>
        <w:rPr>
          <w:rFonts w:ascii="楷体" w:hAnsi="楷体" w:eastAsia="楷体"/>
          <w:bCs/>
          <w:color w:val="000000"/>
          <w:sz w:val="24"/>
        </w:rPr>
      </w:pPr>
      <w:r>
        <w:rPr>
          <w:rFonts w:hint="eastAsia" w:ascii="楷体" w:hAnsi="楷体" w:eastAsia="楷体"/>
          <w:bCs/>
          <w:color w:val="000000"/>
          <w:sz w:val="24"/>
        </w:rPr>
        <w:t>邮箱:</w:t>
      </w:r>
    </w:p>
    <w:p w14:paraId="6076238C">
      <w:pPr>
        <w:tabs>
          <w:tab w:val="left" w:pos="5040"/>
          <w:tab w:val="left" w:pos="5220"/>
          <w:tab w:val="left" w:pos="6096"/>
        </w:tabs>
        <w:spacing w:line="300" w:lineRule="auto"/>
        <w:rPr>
          <w:rFonts w:ascii="楷体" w:hAnsi="楷体" w:eastAsia="楷体"/>
          <w:b/>
          <w:color w:val="000000"/>
          <w:sz w:val="24"/>
        </w:rPr>
      </w:pPr>
    </w:p>
    <w:p w14:paraId="42EFC151">
      <w:pPr>
        <w:tabs>
          <w:tab w:val="left" w:pos="6096"/>
        </w:tabs>
        <w:spacing w:line="300" w:lineRule="auto"/>
        <w:rPr>
          <w:rFonts w:ascii="楷体" w:hAnsi="楷体" w:eastAsia="楷体"/>
          <w:color w:val="000000"/>
          <w:sz w:val="24"/>
        </w:rPr>
      </w:pPr>
      <w:r>
        <w:rPr>
          <w:rFonts w:ascii="楷体" w:hAnsi="楷体" w:eastAsia="楷体"/>
          <w:b/>
          <w:color w:val="000000"/>
          <w:sz w:val="24"/>
        </w:rPr>
        <w:t xml:space="preserve">基金管理人: </w:t>
      </w:r>
      <w:r>
        <w:rPr>
          <w:rFonts w:hint="eastAsia" w:ascii="楷体" w:hAnsi="楷体" w:eastAsia="楷体"/>
          <w:b/>
          <w:color w:val="000000"/>
          <w:sz w:val="24"/>
        </w:rPr>
        <w:t>安合融信（青岛）私募基金管理有限公司</w:t>
      </w:r>
    </w:p>
    <w:p w14:paraId="5A861C7B">
      <w:pPr>
        <w:tabs>
          <w:tab w:val="left" w:pos="6096"/>
        </w:tabs>
        <w:spacing w:line="300" w:lineRule="auto"/>
        <w:rPr>
          <w:rFonts w:ascii="楷体" w:hAnsi="楷体" w:eastAsia="楷体"/>
          <w:color w:val="000000"/>
          <w:sz w:val="24"/>
        </w:rPr>
      </w:pPr>
      <w:r>
        <w:rPr>
          <w:rFonts w:ascii="楷体" w:hAnsi="楷体" w:eastAsia="楷体"/>
          <w:color w:val="000000"/>
          <w:sz w:val="24"/>
        </w:rPr>
        <w:t>法定代表人/执行事务合伙人：高鹏</w:t>
      </w:r>
    </w:p>
    <w:p w14:paraId="17B25331">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住所：山东省青岛市市南区宁夏路288号3号楼106室0022（集中办公区）</w:t>
      </w:r>
    </w:p>
    <w:p w14:paraId="17DBEF3E">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办公地址：山东省青岛市崂山区海尔路</w:t>
      </w:r>
      <w:r>
        <w:rPr>
          <w:rFonts w:ascii="楷体" w:hAnsi="楷体" w:eastAsia="楷体"/>
          <w:color w:val="000000"/>
          <w:sz w:val="24"/>
        </w:rPr>
        <w:t>61</w:t>
      </w:r>
      <w:r>
        <w:rPr>
          <w:rFonts w:hint="eastAsia" w:ascii="楷体" w:hAnsi="楷体" w:eastAsia="楷体"/>
          <w:color w:val="000000"/>
          <w:sz w:val="24"/>
        </w:rPr>
        <w:t>号天宝国际商务中心</w:t>
      </w:r>
      <w:r>
        <w:rPr>
          <w:rFonts w:ascii="楷体" w:hAnsi="楷体" w:eastAsia="楷体"/>
          <w:color w:val="000000"/>
          <w:sz w:val="24"/>
        </w:rPr>
        <w:t>2</w:t>
      </w:r>
      <w:r>
        <w:rPr>
          <w:rFonts w:hint="eastAsia" w:ascii="楷体" w:hAnsi="楷体" w:eastAsia="楷体"/>
          <w:color w:val="000000"/>
          <w:sz w:val="24"/>
        </w:rPr>
        <w:t>号楼</w:t>
      </w:r>
      <w:r>
        <w:rPr>
          <w:rFonts w:ascii="楷体" w:hAnsi="楷体" w:eastAsia="楷体"/>
          <w:color w:val="000000"/>
          <w:sz w:val="24"/>
        </w:rPr>
        <w:t>1810</w:t>
      </w:r>
      <w:r>
        <w:rPr>
          <w:rFonts w:hint="eastAsia" w:ascii="楷体" w:hAnsi="楷体" w:eastAsia="楷体"/>
          <w:color w:val="000000"/>
          <w:sz w:val="24"/>
        </w:rPr>
        <w:t>号</w:t>
      </w:r>
    </w:p>
    <w:p w14:paraId="1BE006F4">
      <w:pPr>
        <w:tabs>
          <w:tab w:val="left" w:pos="6096"/>
        </w:tabs>
        <w:spacing w:line="300" w:lineRule="auto"/>
        <w:rPr>
          <w:rFonts w:ascii="楷体" w:hAnsi="楷体" w:eastAsia="楷体"/>
          <w:color w:val="000000"/>
          <w:sz w:val="24"/>
        </w:rPr>
      </w:pPr>
      <w:r>
        <w:rPr>
          <w:rFonts w:hint="eastAsia" w:ascii="楷体" w:hAnsi="楷体" w:eastAsia="楷体"/>
          <w:color w:val="000000"/>
          <w:sz w:val="24"/>
        </w:rPr>
        <w:t>邮编：266000</w:t>
      </w:r>
    </w:p>
    <w:p w14:paraId="47D488FD">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联系人：郭海萍</w:t>
      </w:r>
    </w:p>
    <w:p w14:paraId="03945404">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联系电话：15563731501</w:t>
      </w:r>
    </w:p>
    <w:p w14:paraId="44019ED1">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传真：-</w:t>
      </w:r>
    </w:p>
    <w:p w14:paraId="0A38BB25">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邮箱：ahrx@holchcapital.com</w:t>
      </w:r>
    </w:p>
    <w:p w14:paraId="384E2FCF">
      <w:pPr>
        <w:tabs>
          <w:tab w:val="left" w:pos="5040"/>
          <w:tab w:val="left" w:pos="5220"/>
          <w:tab w:val="left" w:pos="6096"/>
        </w:tabs>
        <w:rPr>
          <w:rFonts w:ascii="楷体" w:hAnsi="楷体" w:eastAsia="楷体"/>
          <w:color w:val="000000"/>
          <w:sz w:val="24"/>
        </w:rPr>
      </w:pPr>
    </w:p>
    <w:p w14:paraId="2A868E6C">
      <w:pPr>
        <w:tabs>
          <w:tab w:val="left" w:pos="6096"/>
        </w:tabs>
        <w:spacing w:line="300" w:lineRule="auto"/>
        <w:rPr>
          <w:rFonts w:ascii="楷体" w:hAnsi="楷体" w:eastAsia="楷体"/>
          <w:b/>
          <w:color w:val="000000"/>
          <w:sz w:val="24"/>
        </w:rPr>
      </w:pPr>
      <w:r>
        <w:rPr>
          <w:rFonts w:ascii="楷体" w:hAnsi="楷体" w:eastAsia="楷体"/>
          <w:b/>
          <w:color w:val="000000"/>
          <w:sz w:val="24"/>
        </w:rPr>
        <w:t>基金托管人：华泰证券股份有限公司</w:t>
      </w:r>
    </w:p>
    <w:p w14:paraId="451F980F">
      <w:pPr>
        <w:tabs>
          <w:tab w:val="left" w:pos="6096"/>
        </w:tabs>
        <w:spacing w:line="300" w:lineRule="auto"/>
        <w:rPr>
          <w:rFonts w:ascii="楷体" w:hAnsi="楷体" w:eastAsia="楷体"/>
          <w:color w:val="000000"/>
          <w:sz w:val="24"/>
        </w:rPr>
      </w:pPr>
      <w:r>
        <w:rPr>
          <w:rFonts w:ascii="楷体" w:hAnsi="楷体" w:eastAsia="楷体"/>
          <w:color w:val="000000"/>
          <w:sz w:val="24"/>
        </w:rPr>
        <w:t>法定代表人：张伟</w:t>
      </w:r>
    </w:p>
    <w:p w14:paraId="41CF23AF">
      <w:pPr>
        <w:tabs>
          <w:tab w:val="left" w:pos="6096"/>
        </w:tabs>
        <w:spacing w:line="300" w:lineRule="auto"/>
        <w:rPr>
          <w:rFonts w:ascii="楷体" w:hAnsi="楷体" w:eastAsia="楷体"/>
          <w:color w:val="000000"/>
          <w:sz w:val="24"/>
        </w:rPr>
      </w:pPr>
      <w:r>
        <w:rPr>
          <w:rFonts w:hint="eastAsia" w:ascii="楷体" w:hAnsi="楷体" w:eastAsia="楷体"/>
          <w:color w:val="000000"/>
          <w:sz w:val="24"/>
        </w:rPr>
        <w:t>住所：南京市建邺区江东中路228号</w:t>
      </w:r>
    </w:p>
    <w:p w14:paraId="3C1B18E4">
      <w:pPr>
        <w:tabs>
          <w:tab w:val="left" w:pos="6096"/>
        </w:tabs>
        <w:spacing w:line="300" w:lineRule="auto"/>
        <w:rPr>
          <w:rFonts w:ascii="楷体" w:hAnsi="楷体" w:eastAsia="楷体"/>
          <w:color w:val="000000"/>
          <w:sz w:val="24"/>
        </w:rPr>
      </w:pPr>
      <w:r>
        <w:rPr>
          <w:rFonts w:ascii="楷体" w:hAnsi="楷体" w:eastAsia="楷体"/>
          <w:color w:val="000000"/>
          <w:sz w:val="24"/>
        </w:rPr>
        <w:t>办公地址：江苏省南京市建邺区江东中路228号</w:t>
      </w:r>
    </w:p>
    <w:p w14:paraId="31619D16">
      <w:pPr>
        <w:tabs>
          <w:tab w:val="left" w:pos="6096"/>
        </w:tabs>
        <w:spacing w:line="300" w:lineRule="auto"/>
        <w:rPr>
          <w:rFonts w:ascii="楷体" w:hAnsi="楷体" w:eastAsia="楷体"/>
          <w:color w:val="000000"/>
          <w:sz w:val="24"/>
        </w:rPr>
      </w:pPr>
      <w:r>
        <w:rPr>
          <w:rFonts w:ascii="楷体" w:hAnsi="楷体" w:eastAsia="楷体"/>
          <w:color w:val="000000"/>
          <w:sz w:val="24"/>
        </w:rPr>
        <w:t>邮编：210019</w:t>
      </w:r>
    </w:p>
    <w:p w14:paraId="714F3DE3">
      <w:pPr>
        <w:tabs>
          <w:tab w:val="left" w:pos="6096"/>
        </w:tabs>
        <w:spacing w:line="300" w:lineRule="auto"/>
        <w:rPr>
          <w:rFonts w:ascii="楷体" w:hAnsi="楷体" w:eastAsia="楷体"/>
          <w:color w:val="000000"/>
          <w:sz w:val="24"/>
        </w:rPr>
      </w:pPr>
      <w:r>
        <w:rPr>
          <w:rFonts w:hint="eastAsia" w:ascii="楷体" w:hAnsi="楷体" w:eastAsia="楷体"/>
          <w:color w:val="000000"/>
          <w:sz w:val="24"/>
        </w:rPr>
        <w:t>客户服务联系电话：025-83389988</w:t>
      </w:r>
    </w:p>
    <w:p w14:paraId="6EF3AD89">
      <w:pPr>
        <w:tabs>
          <w:tab w:val="left" w:pos="6096"/>
        </w:tabs>
        <w:spacing w:line="300" w:lineRule="auto"/>
        <w:jc w:val="left"/>
        <w:rPr>
          <w:rFonts w:ascii="楷体" w:hAnsi="楷体" w:eastAsia="楷体"/>
          <w:color w:val="000000"/>
          <w:sz w:val="24"/>
        </w:rPr>
      </w:pPr>
      <w:r>
        <w:rPr>
          <w:rFonts w:ascii="楷体" w:hAnsi="楷体" w:eastAsia="楷体"/>
          <w:color w:val="000000"/>
          <w:sz w:val="24"/>
        </w:rPr>
        <w:t>传真：025-83387215</w:t>
      </w:r>
    </w:p>
    <w:p w14:paraId="7E95A123">
      <w:pPr>
        <w:tabs>
          <w:tab w:val="left" w:pos="5040"/>
          <w:tab w:val="left" w:pos="5220"/>
          <w:tab w:val="left" w:pos="6096"/>
        </w:tabs>
        <w:spacing w:line="300" w:lineRule="auto"/>
        <w:rPr>
          <w:rFonts w:ascii="楷体" w:hAnsi="楷体" w:eastAsia="楷体"/>
          <w:b/>
          <w:color w:val="000000"/>
          <w:sz w:val="24"/>
        </w:rPr>
      </w:pPr>
    </w:p>
    <w:p w14:paraId="0FB9703A">
      <w:pPr>
        <w:tabs>
          <w:tab w:val="left" w:pos="5040"/>
          <w:tab w:val="left" w:pos="5220"/>
          <w:tab w:val="left" w:pos="6096"/>
        </w:tabs>
        <w:spacing w:line="300" w:lineRule="auto"/>
        <w:rPr>
          <w:rFonts w:ascii="楷体" w:hAnsi="楷体" w:eastAsia="楷体"/>
          <w:b/>
          <w:color w:val="000000"/>
          <w:sz w:val="24"/>
        </w:rPr>
      </w:pPr>
    </w:p>
    <w:p w14:paraId="21BA3CF3">
      <w:pPr>
        <w:tabs>
          <w:tab w:val="left" w:pos="5040"/>
          <w:tab w:val="left" w:pos="5220"/>
          <w:tab w:val="left" w:pos="6096"/>
        </w:tabs>
        <w:spacing w:line="300" w:lineRule="auto"/>
        <w:rPr>
          <w:rFonts w:ascii="楷体" w:hAnsi="楷体" w:eastAsia="楷体"/>
          <w:b/>
          <w:color w:val="000000"/>
          <w:sz w:val="24"/>
        </w:rPr>
      </w:pPr>
    </w:p>
    <w:p w14:paraId="34C78914">
      <w:pPr>
        <w:tabs>
          <w:tab w:val="left" w:pos="5040"/>
          <w:tab w:val="left" w:pos="5220"/>
          <w:tab w:val="left" w:pos="6096"/>
        </w:tabs>
        <w:spacing w:line="300" w:lineRule="auto"/>
        <w:rPr>
          <w:rFonts w:ascii="楷体" w:hAnsi="楷体" w:eastAsia="楷体"/>
          <w:b/>
          <w:color w:val="000000"/>
          <w:sz w:val="24"/>
        </w:rPr>
      </w:pPr>
    </w:p>
    <w:p w14:paraId="542ED1C1">
      <w:pPr>
        <w:spacing w:line="360" w:lineRule="auto"/>
        <w:ind w:firstLine="480" w:firstLineChars="200"/>
        <w:rPr>
          <w:rFonts w:ascii="楷体" w:hAnsi="楷体" w:eastAsia="楷体"/>
          <w:color w:val="000000"/>
          <w:sz w:val="24"/>
        </w:rPr>
      </w:pPr>
      <w:r>
        <w:rPr>
          <w:rFonts w:hint="eastAsia" w:ascii="楷体" w:hAnsi="楷体" w:eastAsia="楷体"/>
          <w:bCs/>
          <w:color w:val="000000"/>
          <w:sz w:val="24"/>
        </w:rPr>
        <w:t>鉴于前期本基金份额持有人、基金管理人、基金托管人已签订《安合融信匠人匠心</w:t>
      </w:r>
      <w:r>
        <w:rPr>
          <w:rFonts w:ascii="楷体" w:hAnsi="楷体" w:eastAsia="楷体"/>
          <w:bCs/>
          <w:color w:val="000000"/>
          <w:sz w:val="24"/>
        </w:rPr>
        <w:t>6</w:t>
      </w:r>
      <w:r>
        <w:rPr>
          <w:rFonts w:hint="eastAsia" w:ascii="楷体" w:hAnsi="楷体" w:eastAsia="楷体"/>
          <w:bCs/>
          <w:color w:val="000000"/>
          <w:sz w:val="24"/>
        </w:rPr>
        <w:t>号私募证券投资基金基金合同》，后续通过补充协议、公告或通知等合同变更文件进行了合同变更（以下合并简称“原基金合同”）。基金管理人应当向基金份额持有人披露前述变更具体内容，如基金管理人披露变更内容不真实、不完整、不准确、不及时，托管人不承担由此产生的任何责任。经友好协商，基金份额持有人、基金管理人、基金托管人三方就原合同中的相关事项达成一致意见，特订立本补充协议。</w:t>
      </w:r>
    </w:p>
    <w:p w14:paraId="19A54C15">
      <w:pPr>
        <w:spacing w:line="360" w:lineRule="auto"/>
        <w:ind w:firstLine="480" w:firstLineChars="200"/>
        <w:rPr>
          <w:rFonts w:ascii="楷体" w:hAnsi="楷体" w:eastAsia="楷体"/>
          <w:color w:val="000000"/>
          <w:sz w:val="24"/>
        </w:rPr>
      </w:pPr>
      <w:r>
        <w:rPr>
          <w:rFonts w:ascii="楷体" w:hAnsi="楷体" w:eastAsia="楷体"/>
          <w:color w:val="000000"/>
          <w:sz w:val="24"/>
        </w:rPr>
        <w:t>除非另有说明，本补充协议中的所有术语，其定义与原合同中的定义相同。</w:t>
      </w:r>
    </w:p>
    <w:p w14:paraId="23FB4CCB">
      <w:pPr>
        <w:spacing w:line="360" w:lineRule="auto"/>
        <w:ind w:firstLine="480" w:firstLineChars="200"/>
        <w:rPr>
          <w:rFonts w:ascii="楷体" w:hAnsi="楷体" w:eastAsia="楷体"/>
          <w:color w:val="000000"/>
          <w:sz w:val="24"/>
        </w:rPr>
      </w:pPr>
    </w:p>
    <w:p w14:paraId="7B60D4D7">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一、对原合同修订内容如下：</w:t>
      </w:r>
    </w:p>
    <w:tbl>
      <w:tblPr>
        <w:tblStyle w:val="30"/>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108"/>
        <w:gridCol w:w="3589"/>
      </w:tblGrid>
      <w:tr w14:paraId="5897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233F68B5">
            <w:pPr>
              <w:jc w:val="center"/>
              <w:rPr>
                <w:rFonts w:ascii="楷体" w:hAnsi="楷体" w:eastAsia="楷体"/>
                <w:color w:val="000000"/>
                <w:szCs w:val="21"/>
              </w:rPr>
            </w:pPr>
            <w:r>
              <w:rPr>
                <w:rFonts w:hint="eastAsia" w:ascii="楷体" w:hAnsi="楷体" w:eastAsia="楷体"/>
                <w:color w:val="000000"/>
                <w:szCs w:val="21"/>
              </w:rPr>
              <w:t>章节</w:t>
            </w:r>
          </w:p>
        </w:tc>
        <w:tc>
          <w:tcPr>
            <w:tcW w:w="3108" w:type="dxa"/>
          </w:tcPr>
          <w:p w14:paraId="1036AA9A">
            <w:pPr>
              <w:jc w:val="center"/>
              <w:rPr>
                <w:rFonts w:ascii="楷体" w:hAnsi="楷体" w:eastAsia="楷体"/>
                <w:color w:val="000000"/>
                <w:szCs w:val="21"/>
              </w:rPr>
            </w:pPr>
            <w:r>
              <w:rPr>
                <w:rFonts w:hint="eastAsia" w:ascii="楷体" w:hAnsi="楷体" w:eastAsia="楷体"/>
                <w:color w:val="000000"/>
                <w:szCs w:val="21"/>
              </w:rPr>
              <w:t>原合同内容</w:t>
            </w:r>
          </w:p>
        </w:tc>
        <w:tc>
          <w:tcPr>
            <w:tcW w:w="3589" w:type="dxa"/>
          </w:tcPr>
          <w:p w14:paraId="2A72A294">
            <w:pPr>
              <w:jc w:val="center"/>
              <w:rPr>
                <w:rFonts w:ascii="楷体" w:hAnsi="楷体" w:eastAsia="楷体"/>
                <w:color w:val="000000"/>
                <w:szCs w:val="21"/>
              </w:rPr>
            </w:pPr>
            <w:r>
              <w:rPr>
                <w:rFonts w:hint="eastAsia" w:ascii="楷体" w:hAnsi="楷体" w:eastAsia="楷体"/>
                <w:color w:val="000000"/>
                <w:szCs w:val="21"/>
              </w:rPr>
              <w:t>变更后的内容</w:t>
            </w:r>
          </w:p>
        </w:tc>
      </w:tr>
      <w:tr w14:paraId="49AF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4ED8560F">
            <w:pPr>
              <w:jc w:val="center"/>
              <w:rPr>
                <w:rFonts w:ascii="楷体" w:hAnsi="楷体" w:eastAsia="楷体"/>
                <w:color w:val="000000"/>
                <w:szCs w:val="21"/>
              </w:rPr>
            </w:pPr>
            <w:r>
              <w:rPr>
                <w:rFonts w:hint="eastAsia" w:ascii="楷体" w:hAnsi="楷体" w:eastAsia="楷体"/>
                <w:color w:val="000000"/>
                <w:szCs w:val="21"/>
              </w:rPr>
              <w:t>十五、私募基金的费用与税收</w:t>
            </w:r>
          </w:p>
        </w:tc>
        <w:tc>
          <w:tcPr>
            <w:tcW w:w="3108" w:type="dxa"/>
          </w:tcPr>
          <w:p w14:paraId="7DD8DF04">
            <w:pPr>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2）业绩报酬</w:t>
            </w:r>
          </w:p>
          <w:p w14:paraId="35812681">
            <w:pPr>
              <w:ind w:firstLine="420" w:firstLineChars="200"/>
              <w:jc w:val="left"/>
              <w:rPr>
                <w:rFonts w:ascii="楷体" w:hAnsi="楷体" w:eastAsia="楷体"/>
                <w:color w:val="000000"/>
                <w:szCs w:val="21"/>
              </w:rPr>
            </w:pPr>
            <w:r>
              <w:rPr>
                <w:rFonts w:hint="eastAsia" w:ascii="楷体" w:hAnsi="楷体" w:eastAsia="楷体"/>
                <w:color w:val="000000"/>
                <w:szCs w:val="21"/>
              </w:rPr>
              <w:t>①业绩报酬提取的时间</w:t>
            </w:r>
          </w:p>
          <w:p w14:paraId="1063E209">
            <w:pPr>
              <w:ind w:firstLine="420" w:firstLineChars="200"/>
              <w:jc w:val="left"/>
              <w:rPr>
                <w:rFonts w:ascii="楷体" w:hAnsi="楷体" w:eastAsia="楷体"/>
                <w:color w:val="000000"/>
                <w:szCs w:val="21"/>
              </w:rPr>
            </w:pPr>
            <w:r>
              <w:rPr>
                <w:rFonts w:hint="eastAsia" w:ascii="楷体" w:hAnsi="楷体" w:eastAsia="楷体"/>
                <w:color w:val="000000"/>
                <w:szCs w:val="21"/>
              </w:rPr>
              <w:t>本基金采用“单个投资者单份额高水位法”。在基金份额持有人赎回基金或者基金终止时进行业绩报酬的提取。本基金连续两次计提业绩报酬的间隔期不应短于</w:t>
            </w:r>
            <w:r>
              <w:rPr>
                <w:rFonts w:ascii="楷体" w:hAnsi="楷体" w:eastAsia="楷体"/>
                <w:color w:val="000000"/>
                <w:szCs w:val="21"/>
              </w:rPr>
              <w:t>3个月，基金管理人在基金份额持有人赎回基金份额时或在本基金清盘日计提业绩报酬的，可不受上述间隔期的限制。</w:t>
            </w:r>
          </w:p>
          <w:p w14:paraId="2F7FD617">
            <w:pPr>
              <w:ind w:firstLine="420" w:firstLineChars="200"/>
              <w:jc w:val="left"/>
              <w:rPr>
                <w:rFonts w:ascii="楷体" w:hAnsi="楷体" w:eastAsia="楷体"/>
                <w:color w:val="000000"/>
                <w:szCs w:val="21"/>
              </w:rPr>
            </w:pPr>
            <w:r>
              <w:rPr>
                <w:rFonts w:hint="eastAsia" w:ascii="楷体" w:hAnsi="楷体" w:eastAsia="楷体"/>
                <w:color w:val="000000"/>
                <w:szCs w:val="21"/>
              </w:rPr>
              <w:t>②业绩报酬提取的方法</w:t>
            </w:r>
          </w:p>
          <w:p w14:paraId="2C9AD20B">
            <w:pPr>
              <w:ind w:firstLine="420" w:firstLineChars="200"/>
              <w:jc w:val="left"/>
              <w:rPr>
                <w:rFonts w:ascii="楷体" w:hAnsi="楷体" w:eastAsia="楷体"/>
                <w:color w:val="000000"/>
                <w:szCs w:val="21"/>
              </w:rPr>
            </w:pPr>
            <w:r>
              <w:rPr>
                <w:rFonts w:hint="eastAsia" w:ascii="楷体" w:hAnsi="楷体" w:eastAsia="楷体"/>
                <w:color w:val="000000"/>
                <w:szCs w:val="21"/>
              </w:rPr>
              <w:t>单个基金份额持有人单笔投资基金份额业绩报酬计算公式如下：</w:t>
            </w:r>
          </w:p>
          <w:p w14:paraId="77B423C8">
            <w:pPr>
              <w:ind w:firstLine="420" w:firstLineChars="200"/>
              <w:jc w:val="left"/>
              <w:rPr>
                <w:rFonts w:ascii="楷体" w:hAnsi="楷体" w:eastAsia="楷体"/>
                <w:color w:val="000000"/>
                <w:szCs w:val="21"/>
              </w:rPr>
            </w:pPr>
            <w:r>
              <w:rPr>
                <w:rFonts w:ascii="楷体" w:hAnsi="楷体" w:eastAsia="楷体"/>
                <w:color w:val="000000"/>
                <w:szCs w:val="21"/>
              </w:rPr>
              <w:t>PFij＝Fij×(NAV1′－HWMij)×50%</w:t>
            </w:r>
          </w:p>
          <w:p w14:paraId="78F9957B">
            <w:pPr>
              <w:ind w:firstLine="420" w:firstLineChars="200"/>
              <w:jc w:val="left"/>
              <w:rPr>
                <w:rFonts w:ascii="楷体" w:hAnsi="楷体" w:eastAsia="楷体"/>
                <w:color w:val="000000"/>
                <w:szCs w:val="21"/>
              </w:rPr>
            </w:pPr>
            <w:r>
              <w:rPr>
                <w:rFonts w:ascii="楷体" w:hAnsi="楷体" w:eastAsia="楷体"/>
                <w:color w:val="000000"/>
                <w:szCs w:val="21"/>
              </w:rPr>
              <w:t>PFij：本计提日第i个基金份额持有人第j笔投资的业绩报酬；</w:t>
            </w:r>
          </w:p>
          <w:p w14:paraId="50E18A15">
            <w:pPr>
              <w:ind w:firstLine="420" w:firstLineChars="200"/>
              <w:jc w:val="left"/>
              <w:rPr>
                <w:rFonts w:ascii="楷体" w:hAnsi="楷体" w:eastAsia="楷体"/>
                <w:color w:val="000000"/>
                <w:szCs w:val="21"/>
              </w:rPr>
            </w:pPr>
            <w:r>
              <w:rPr>
                <w:rFonts w:ascii="楷体" w:hAnsi="楷体" w:eastAsia="楷体"/>
                <w:color w:val="000000"/>
                <w:szCs w:val="21"/>
              </w:rPr>
              <w:t>Fij：本计提日第i个基金份额持有人第j笔投资的基金份额；提取赎回业绩报酬时为基金份额持有人赎回基金的份额；</w:t>
            </w:r>
            <w:r>
              <w:rPr>
                <w:rFonts w:hint="eastAsia" w:ascii="楷体" w:hAnsi="楷体" w:eastAsia="楷体"/>
                <w:color w:val="000000"/>
                <w:szCs w:val="21"/>
              </w:rPr>
              <w:t>合同终止时的业绩报酬为基金份额持有人合同终止时的全部份额；</w:t>
            </w:r>
          </w:p>
          <w:p w14:paraId="1EF67657">
            <w:pPr>
              <w:ind w:firstLine="420" w:firstLineChars="200"/>
              <w:jc w:val="left"/>
              <w:rPr>
                <w:rFonts w:ascii="楷体" w:hAnsi="楷体" w:eastAsia="楷体"/>
                <w:color w:val="000000"/>
                <w:szCs w:val="21"/>
              </w:rPr>
            </w:pPr>
            <w:r>
              <w:rPr>
                <w:rFonts w:ascii="楷体" w:hAnsi="楷体" w:eastAsia="楷体"/>
                <w:color w:val="000000"/>
                <w:szCs w:val="21"/>
              </w:rPr>
              <w:t>HWMij：第i个基金份额持有人第j笔投资的高水位，为该笔份额上一次提取业绩报酬时的基金份额累计净值；若该笔份额还未提取过业绩报酬，则为该笔份额对应的认购价格或申购时的基金份额累计净值；</w:t>
            </w:r>
          </w:p>
          <w:p w14:paraId="5DB3D7CB">
            <w:pPr>
              <w:ind w:firstLine="420" w:firstLineChars="200"/>
              <w:jc w:val="left"/>
              <w:rPr>
                <w:rFonts w:ascii="楷体" w:hAnsi="楷体" w:eastAsia="楷体"/>
                <w:color w:val="000000"/>
                <w:szCs w:val="21"/>
              </w:rPr>
            </w:pPr>
            <w:r>
              <w:rPr>
                <w:rFonts w:ascii="楷体" w:hAnsi="楷体" w:eastAsia="楷体"/>
                <w:color w:val="000000"/>
                <w:szCs w:val="21"/>
              </w:rPr>
              <w:t>NAV1′：本计提日基金份额累计净值；</w:t>
            </w:r>
          </w:p>
          <w:p w14:paraId="7BFE7082">
            <w:pPr>
              <w:ind w:firstLine="420" w:firstLineChars="200"/>
              <w:jc w:val="left"/>
              <w:rPr>
                <w:rFonts w:ascii="楷体" w:hAnsi="楷体" w:eastAsia="楷体"/>
                <w:color w:val="000000"/>
                <w:szCs w:val="21"/>
              </w:rPr>
            </w:pPr>
            <w:r>
              <w:rPr>
                <w:rFonts w:hint="eastAsia" w:ascii="楷体" w:hAnsi="楷体" w:eastAsia="楷体"/>
                <w:color w:val="000000"/>
                <w:szCs w:val="21"/>
              </w:rPr>
              <w:t>如果上述计算基金投资者单位基金份额获得的收益为负或者为零，则业绩报酬为零。</w:t>
            </w:r>
          </w:p>
          <w:p w14:paraId="0BB9C74D">
            <w:pPr>
              <w:ind w:firstLine="420" w:firstLineChars="200"/>
              <w:jc w:val="left"/>
              <w:rPr>
                <w:rFonts w:ascii="楷体" w:hAnsi="楷体" w:eastAsia="楷体"/>
                <w:color w:val="000000"/>
                <w:szCs w:val="21"/>
              </w:rPr>
            </w:pPr>
            <w:r>
              <w:rPr>
                <w:rFonts w:hint="eastAsia" w:ascii="楷体" w:hAnsi="楷体" w:eastAsia="楷体"/>
                <w:color w:val="000000"/>
                <w:szCs w:val="21"/>
              </w:rPr>
              <w:t>赎回业绩报酬从基金份额持有人赎回资金中扣除；合同终止时业绩报酬直接从基金清算资金中扣除。上述业绩报酬在赎回基金份额、基金终止清算后</w:t>
            </w:r>
            <w:r>
              <w:rPr>
                <w:rFonts w:ascii="楷体" w:hAnsi="楷体" w:eastAsia="楷体"/>
                <w:color w:val="000000"/>
                <w:szCs w:val="21"/>
              </w:rPr>
              <w:t>10个工作日内，由基金托管人根据基金管理人出具的划款指令支付给基金管理人。</w:t>
            </w:r>
          </w:p>
          <w:p w14:paraId="79A44513">
            <w:pPr>
              <w:ind w:firstLine="420" w:firstLineChars="200"/>
              <w:jc w:val="left"/>
              <w:rPr>
                <w:rFonts w:ascii="楷体" w:hAnsi="楷体" w:eastAsia="楷体"/>
                <w:color w:val="000000"/>
                <w:szCs w:val="21"/>
              </w:rPr>
            </w:pPr>
            <w:r>
              <w:rPr>
                <w:rFonts w:hint="eastAsia" w:ascii="楷体" w:hAnsi="楷体" w:eastAsia="楷体"/>
                <w:color w:val="000000"/>
                <w:szCs w:val="21"/>
              </w:rPr>
              <w:t>注：单个基金份额持有人单笔投资业绩报酬保留到小数点后</w:t>
            </w:r>
            <w:r>
              <w:rPr>
                <w:rFonts w:ascii="楷体" w:hAnsi="楷体" w:eastAsia="楷体"/>
                <w:color w:val="000000"/>
                <w:szCs w:val="21"/>
              </w:rPr>
              <w:t>2位，小数点后第3位四舍五入。</w:t>
            </w:r>
          </w:p>
          <w:p w14:paraId="6B36C84D">
            <w:pPr>
              <w:ind w:firstLine="420" w:firstLineChars="200"/>
              <w:jc w:val="left"/>
              <w:rPr>
                <w:rFonts w:ascii="楷体" w:hAnsi="楷体" w:eastAsia="楷体"/>
                <w:color w:val="000000"/>
                <w:szCs w:val="21"/>
              </w:rPr>
            </w:pPr>
            <w:r>
              <w:rPr>
                <w:rFonts w:hint="eastAsia" w:ascii="楷体" w:hAnsi="楷体" w:eastAsia="楷体"/>
                <w:color w:val="000000"/>
                <w:szCs w:val="21"/>
              </w:rPr>
              <w:t>基金管理人的管理费及业绩报酬收款账户信息如下：</w:t>
            </w:r>
          </w:p>
          <w:p w14:paraId="6AAEDF5B">
            <w:pPr>
              <w:ind w:firstLine="420" w:firstLineChars="200"/>
              <w:jc w:val="left"/>
              <w:rPr>
                <w:rFonts w:ascii="楷体" w:hAnsi="楷体" w:eastAsia="楷体"/>
                <w:color w:val="000000"/>
                <w:szCs w:val="21"/>
              </w:rPr>
            </w:pPr>
            <w:r>
              <w:rPr>
                <w:rFonts w:hint="eastAsia" w:ascii="楷体" w:hAnsi="楷体" w:eastAsia="楷体"/>
                <w:color w:val="000000"/>
                <w:szCs w:val="21"/>
              </w:rPr>
              <w:t>户</w:t>
            </w:r>
            <w:r>
              <w:rPr>
                <w:rFonts w:ascii="楷体" w:hAnsi="楷体" w:eastAsia="楷体"/>
                <w:color w:val="000000"/>
                <w:szCs w:val="21"/>
              </w:rPr>
              <w:t xml:space="preserve"> </w:t>
            </w:r>
            <w:r>
              <w:rPr>
                <w:rFonts w:hint="eastAsia" w:ascii="楷体" w:hAnsi="楷体" w:eastAsia="楷体"/>
                <w:color w:val="000000"/>
                <w:szCs w:val="21"/>
              </w:rPr>
              <w:t>名：安合融信（青岛）私募基金管理有限公司</w:t>
            </w:r>
          </w:p>
          <w:p w14:paraId="1F1655AE">
            <w:pPr>
              <w:ind w:firstLine="420" w:firstLineChars="200"/>
              <w:jc w:val="left"/>
              <w:rPr>
                <w:rFonts w:ascii="楷体" w:hAnsi="楷体" w:eastAsia="楷体"/>
                <w:color w:val="000000"/>
                <w:szCs w:val="21"/>
              </w:rPr>
            </w:pPr>
            <w:r>
              <w:rPr>
                <w:rFonts w:hint="eastAsia" w:ascii="楷体" w:hAnsi="楷体" w:eastAsia="楷体"/>
                <w:color w:val="000000"/>
                <w:szCs w:val="21"/>
              </w:rPr>
              <w:t>账</w:t>
            </w:r>
            <w:r>
              <w:rPr>
                <w:rFonts w:ascii="楷体" w:hAnsi="楷体" w:eastAsia="楷体"/>
                <w:color w:val="000000"/>
                <w:szCs w:val="21"/>
              </w:rPr>
              <w:t xml:space="preserve"> </w:t>
            </w:r>
            <w:r>
              <w:rPr>
                <w:rFonts w:hint="eastAsia" w:ascii="楷体" w:hAnsi="楷体" w:eastAsia="楷体"/>
                <w:color w:val="000000"/>
                <w:szCs w:val="21"/>
              </w:rPr>
              <w:t>号：</w:t>
            </w:r>
            <w:r>
              <w:rPr>
                <w:rFonts w:ascii="楷体" w:hAnsi="楷体" w:eastAsia="楷体"/>
                <w:color w:val="000000"/>
                <w:szCs w:val="21"/>
              </w:rPr>
              <w:t>224744893503</w:t>
            </w:r>
          </w:p>
          <w:p w14:paraId="32EDE548">
            <w:pPr>
              <w:ind w:firstLine="420" w:firstLineChars="200"/>
              <w:jc w:val="left"/>
              <w:rPr>
                <w:rFonts w:ascii="楷体" w:hAnsi="楷体" w:eastAsia="楷体"/>
                <w:color w:val="000000"/>
                <w:szCs w:val="21"/>
              </w:rPr>
            </w:pPr>
            <w:r>
              <w:rPr>
                <w:rFonts w:hint="eastAsia" w:ascii="楷体" w:hAnsi="楷体" w:eastAsia="楷体"/>
                <w:color w:val="000000"/>
                <w:szCs w:val="21"/>
              </w:rPr>
              <w:t>开户银行：中国银行股份有限公司青岛宁夏路支行</w:t>
            </w:r>
          </w:p>
          <w:p w14:paraId="4A1D7843">
            <w:pPr>
              <w:jc w:val="left"/>
              <w:rPr>
                <w:rFonts w:ascii="楷体" w:hAnsi="楷体" w:eastAsia="楷体"/>
                <w:color w:val="000000"/>
                <w:szCs w:val="21"/>
              </w:rPr>
            </w:pPr>
          </w:p>
        </w:tc>
        <w:tc>
          <w:tcPr>
            <w:tcW w:w="3589" w:type="dxa"/>
          </w:tcPr>
          <w:p w14:paraId="44872C9F">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2）业绩报酬</w:t>
            </w:r>
          </w:p>
          <w:p w14:paraId="7A9BD52D">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①业绩报酬提取的时间</w:t>
            </w:r>
          </w:p>
          <w:p w14:paraId="4DF3F051">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本基金采用“单个投资者单份额高水位法”。在</w:t>
            </w:r>
            <w:r>
              <w:rPr>
                <w:rFonts w:hint="eastAsia" w:ascii="楷体" w:hAnsi="楷体" w:eastAsia="楷体"/>
                <w:b/>
                <w:bCs/>
                <w:color w:val="000000"/>
                <w:szCs w:val="21"/>
              </w:rPr>
              <w:t>基金收益分配</w:t>
            </w:r>
            <w:r>
              <w:rPr>
                <w:rFonts w:hint="eastAsia" w:ascii="楷体" w:hAnsi="楷体" w:eastAsia="楷体"/>
                <w:color w:val="000000"/>
                <w:szCs w:val="21"/>
              </w:rPr>
              <w:t>、基金份额持有人赎回基金或者基金终止时进行业绩报酬的提取。本基金连续两次计提业绩报酬的间隔期不应短于</w:t>
            </w:r>
            <w:r>
              <w:rPr>
                <w:rFonts w:ascii="楷体" w:hAnsi="楷体" w:eastAsia="楷体"/>
                <w:color w:val="000000"/>
                <w:szCs w:val="21"/>
              </w:rPr>
              <w:t>6个月，基金管理人在基金份额持有人赎回基金份额时或在本基金清盘日计提业绩报酬的，可不受上述间隔期的限制。</w:t>
            </w:r>
          </w:p>
          <w:p w14:paraId="4D4B5061">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②业绩报酬提取的方法</w:t>
            </w:r>
          </w:p>
          <w:p w14:paraId="4867E527">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单个基金份额持有人单笔投资基金份额业绩报酬计算公式如下：</w:t>
            </w:r>
          </w:p>
          <w:p w14:paraId="465803E1">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PFij＝Fij×(NAV1′－HWMij)×50%</w:t>
            </w:r>
          </w:p>
          <w:p w14:paraId="33DBC1DE">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PFij：本计提日第i个基金份额持有人第j笔投资的业绩报酬；</w:t>
            </w:r>
          </w:p>
          <w:p w14:paraId="457D9308">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Fij：本计提日第i个基金份额持有人第j笔投资的基金份额；提取赎回业绩报酬时为基金份额持有人赎回基金的份额；提取收益分配业绩报酬时为基金份额持有人参与收益分配的基金份额；合同终止时的业绩报酬为基金份额持有人合同终止时的全部份额。</w:t>
            </w:r>
          </w:p>
          <w:p w14:paraId="5F370BF6">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NAV1′：本计提日基金份额累计净值；</w:t>
            </w:r>
          </w:p>
          <w:p w14:paraId="121FFCAA">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HWMij：第i个基金份额持有人第j笔投资的高水位，为该笔份额上一次提取业绩报酬时的基金份额累计净值；若该笔份额还未提取过业绩报酬，则为该笔份额对应的认购价格或申购时的基金份额累计净值；</w:t>
            </w:r>
          </w:p>
          <w:p w14:paraId="6E4D07B5">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如果上述计算基金投资者单位基金份额获得的收益为负或者为零，则业绩报酬为零。</w:t>
            </w:r>
          </w:p>
          <w:p w14:paraId="7642F867">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赎回业绩报酬从基金份额持有人赎回资金中扣除；</w:t>
            </w:r>
            <w:r>
              <w:rPr>
                <w:rFonts w:hint="eastAsia" w:ascii="楷体" w:hAnsi="楷体" w:eastAsia="楷体"/>
                <w:b/>
                <w:bCs/>
                <w:color w:val="000000"/>
                <w:szCs w:val="21"/>
              </w:rPr>
              <w:t>收益分配业绩报酬从基金份额持有人收益分配资金中进行扣除（如果基金份额持有人本次收益分配的金额小于应计提的业绩报酬时，则本次计提的业绩报酬为该基金份额持有人的收益分配资金）</w:t>
            </w:r>
            <w:r>
              <w:rPr>
                <w:rFonts w:hint="eastAsia" w:ascii="楷体" w:hAnsi="楷体" w:eastAsia="楷体"/>
                <w:color w:val="000000"/>
                <w:szCs w:val="21"/>
              </w:rPr>
              <w:t>；合同终止时业绩报酬直接从基金清算资金中扣除。上述业绩报酬在收益分配、赎回基金份额及基金终止清算后</w:t>
            </w:r>
            <w:r>
              <w:rPr>
                <w:rFonts w:ascii="楷体" w:hAnsi="楷体" w:eastAsia="楷体"/>
                <w:color w:val="000000"/>
                <w:szCs w:val="21"/>
              </w:rPr>
              <w:t>10个工作日内，由基金托管人根据基金管理人出具的划款指令支付给基金管理人。</w:t>
            </w:r>
          </w:p>
          <w:p w14:paraId="47500FFD">
            <w:pPr>
              <w:tabs>
                <w:tab w:val="left" w:pos="6096"/>
              </w:tabs>
              <w:adjustRightInd w:val="0"/>
              <w:ind w:firstLine="420" w:firstLineChars="200"/>
              <w:jc w:val="left"/>
              <w:rPr>
                <w:rFonts w:ascii="楷体" w:hAnsi="楷体" w:eastAsia="楷体"/>
                <w:color w:val="000000"/>
                <w:szCs w:val="21"/>
              </w:rPr>
            </w:pPr>
            <w:r>
              <w:rPr>
                <w:rFonts w:hint="eastAsia" w:ascii="楷体" w:hAnsi="楷体" w:eastAsia="楷体"/>
                <w:color w:val="000000"/>
                <w:szCs w:val="21"/>
              </w:rPr>
              <w:t>注：单个基金份额持有人单笔投资业绩报酬保留到小数点后</w:t>
            </w:r>
            <w:r>
              <w:rPr>
                <w:rFonts w:ascii="楷体" w:hAnsi="楷体" w:eastAsia="楷体"/>
                <w:color w:val="000000"/>
                <w:szCs w:val="21"/>
              </w:rPr>
              <w:t>2位，小数点后第3位四舍五入。</w:t>
            </w:r>
          </w:p>
          <w:p w14:paraId="580E37DD">
            <w:pPr>
              <w:tabs>
                <w:tab w:val="left" w:pos="6096"/>
              </w:tabs>
              <w:adjustRightInd w:val="0"/>
              <w:ind w:firstLine="420" w:firstLineChars="200"/>
              <w:rPr>
                <w:rFonts w:ascii="楷体" w:hAnsi="楷体" w:eastAsia="楷体"/>
                <w:color w:val="000000"/>
                <w:szCs w:val="21"/>
                <w:u w:val="single"/>
              </w:rPr>
            </w:pPr>
            <w:r>
              <w:rPr>
                <w:rFonts w:hint="eastAsia" w:ascii="楷体" w:hAnsi="楷体" w:eastAsia="楷体"/>
                <w:color w:val="000000"/>
                <w:szCs w:val="21"/>
              </w:rPr>
              <w:t>基金管理人的管理费及业绩报酬收款账户信息如下：</w:t>
            </w:r>
          </w:p>
          <w:p w14:paraId="7F466D47">
            <w:pPr>
              <w:tabs>
                <w:tab w:val="left" w:pos="6096"/>
              </w:tabs>
              <w:adjustRightInd w:val="0"/>
              <w:ind w:firstLine="420" w:firstLineChars="200"/>
              <w:rPr>
                <w:rFonts w:ascii="楷体" w:hAnsi="楷体" w:eastAsia="楷体"/>
                <w:color w:val="000000"/>
                <w:szCs w:val="21"/>
                <w:u w:val="single"/>
              </w:rPr>
            </w:pPr>
            <w:r>
              <w:rPr>
                <w:rFonts w:ascii="楷体" w:hAnsi="楷体" w:eastAsia="楷体"/>
                <w:color w:val="000000"/>
                <w:szCs w:val="21"/>
              </w:rPr>
              <w:t>户 名：</w:t>
            </w:r>
            <w:r>
              <w:rPr>
                <w:rFonts w:hint="eastAsia" w:ascii="楷体" w:hAnsi="楷体" w:eastAsia="楷体"/>
                <w:color w:val="000000"/>
                <w:szCs w:val="21"/>
              </w:rPr>
              <w:t>安合融信（青岛）私募基金管理有限公司</w:t>
            </w:r>
          </w:p>
          <w:p w14:paraId="7B213465">
            <w:pPr>
              <w:tabs>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账 号：224744893503</w:t>
            </w:r>
          </w:p>
          <w:p w14:paraId="7B6D8704">
            <w:pPr>
              <w:tabs>
                <w:tab w:val="left" w:pos="6096"/>
              </w:tabs>
              <w:adjustRightInd w:val="0"/>
              <w:ind w:firstLine="420" w:firstLineChars="200"/>
              <w:jc w:val="left"/>
              <w:rPr>
                <w:rFonts w:ascii="楷体" w:hAnsi="楷体" w:eastAsia="楷体"/>
                <w:color w:val="000000"/>
                <w:szCs w:val="21"/>
              </w:rPr>
            </w:pPr>
            <w:r>
              <w:rPr>
                <w:rFonts w:ascii="楷体" w:hAnsi="楷体" w:eastAsia="楷体"/>
                <w:color w:val="000000"/>
                <w:szCs w:val="21"/>
              </w:rPr>
              <w:t>开户银行：</w:t>
            </w:r>
            <w:r>
              <w:rPr>
                <w:rFonts w:hint="eastAsia" w:ascii="楷体" w:hAnsi="楷体" w:eastAsia="楷体"/>
                <w:color w:val="000000"/>
                <w:szCs w:val="21"/>
              </w:rPr>
              <w:t>中国银行股份有限公司青岛宁夏路支行</w:t>
            </w:r>
          </w:p>
        </w:tc>
      </w:tr>
      <w:tr w14:paraId="4C13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4E7D45D8">
            <w:pPr>
              <w:jc w:val="center"/>
              <w:rPr>
                <w:rFonts w:ascii="楷体" w:hAnsi="楷体" w:eastAsia="楷体"/>
                <w:color w:val="000000"/>
                <w:szCs w:val="21"/>
              </w:rPr>
            </w:pPr>
            <w:r>
              <w:rPr>
                <w:rFonts w:hint="eastAsia" w:ascii="楷体" w:hAnsi="楷体" w:eastAsia="楷体"/>
                <w:color w:val="000000"/>
                <w:szCs w:val="21"/>
              </w:rPr>
              <w:t>十八、风险揭示</w:t>
            </w:r>
          </w:p>
        </w:tc>
        <w:tc>
          <w:tcPr>
            <w:tcW w:w="3108" w:type="dxa"/>
          </w:tcPr>
          <w:p w14:paraId="0E7000FB">
            <w:pPr>
              <w:tabs>
                <w:tab w:val="left" w:pos="1300"/>
                <w:tab w:val="left" w:pos="6096"/>
              </w:tabs>
              <w:adjustRightInd w:val="0"/>
              <w:ind w:firstLine="420" w:firstLineChars="200"/>
              <w:rPr>
                <w:rFonts w:ascii="楷体" w:hAnsi="楷体" w:eastAsia="楷体"/>
                <w:i/>
                <w:color w:val="000000"/>
                <w:szCs w:val="21"/>
              </w:rPr>
            </w:pPr>
            <w:r>
              <w:rPr>
                <w:rFonts w:hint="eastAsia" w:ascii="楷体" w:hAnsi="楷体" w:eastAsia="楷体"/>
                <w:color w:val="000000"/>
                <w:szCs w:val="21"/>
              </w:rPr>
              <w:t>（三）本基金投资标的的相关风险</w:t>
            </w:r>
          </w:p>
          <w:p w14:paraId="44B20663">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1、</w:t>
            </w:r>
            <w:r>
              <w:rPr>
                <w:rFonts w:hint="eastAsia" w:ascii="楷体" w:hAnsi="楷体" w:eastAsia="楷体"/>
                <w:color w:val="000000"/>
                <w:szCs w:val="21"/>
              </w:rPr>
              <w:t>投资于股票的风险包括但不限于：</w:t>
            </w:r>
          </w:p>
          <w:p w14:paraId="1EA99EEA">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1）</w:t>
            </w:r>
            <w:r>
              <w:rPr>
                <w:rFonts w:hint="eastAsia" w:ascii="楷体" w:hAnsi="楷体" w:eastAsia="楷体"/>
                <w:color w:val="000000"/>
                <w:szCs w:val="21"/>
              </w:rPr>
              <w:t>国家货币政策、财政政策、产业政策等的变化对证券市场产生一定的影响，导致股票市场价格水平波动；</w:t>
            </w:r>
          </w:p>
          <w:p w14:paraId="026E6101">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2）宏观经济运行周期性波动，可能对股票市场的收益水平产生影响；</w:t>
            </w:r>
          </w:p>
          <w:p w14:paraId="54E64899">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3）上市公司的经营状况受多种因素影响，如市场、技术、竞争、管理、财务等都会导致公司盈利发生变化，从而导致股票价格波动。</w:t>
            </w:r>
          </w:p>
          <w:p w14:paraId="4219C0A3">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4）本基金如投资于科创板股票，存在的风险包括但不限于：</w:t>
            </w:r>
          </w:p>
          <w:p w14:paraId="57449537">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A、科创板企业可能存在首次公开发行前未能连续盈利、公开发行并上市时尚未盈利、有累计未弥补亏损等情形，因此上市后的持续创新能力、主营业务发展的可持续性、公司收入及盈利水平等仍具有较大不确定性，可能存在上市后仍无法盈利、持续亏损、无法进行利润分配等情形；</w:t>
            </w:r>
          </w:p>
          <w:p w14:paraId="62C5353B">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B、科创板新股询价、定价、配售等环节由机构投资者主导。同时，因科创板企业普遍具有技术新、前景不确定、业绩波动大、风险高等特征，市场可比公司较少，发行定价难度较大，科创板股票上市后可能存在股价波动的风险；</w:t>
            </w:r>
          </w:p>
          <w:p w14:paraId="3B3449E3">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C、科创板股票竞价交易相较于其他板块设置较宽的涨跌幅限制，其特殊交易规则可能导致的股价波动偏大；科创板股票交易盘中临时停牌情形和严重异常波动股票核查制度与上交主板市场规定不同。</w:t>
            </w:r>
          </w:p>
          <w:p w14:paraId="3CC27A17">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5）由于新股申购在市场特性、交易机制、投资特点和风险特性等方面与二级市场存在着一定的差别，参与新股申购存在某些特定风险，包括但不限于：</w:t>
            </w:r>
            <w:r>
              <w:rPr>
                <w:rFonts w:ascii="楷体" w:hAnsi="楷体" w:eastAsia="楷体"/>
                <w:color w:val="000000"/>
                <w:szCs w:val="21"/>
              </w:rPr>
              <w:cr/>
            </w:r>
            <w:r>
              <w:rPr>
                <w:rFonts w:ascii="楷体" w:hAnsi="楷体" w:eastAsia="楷体"/>
                <w:color w:val="000000"/>
                <w:szCs w:val="21"/>
              </w:rPr>
              <w:t xml:space="preserve">     由于某只股票的网上申购中签率持续放大，本基金面临所持有的该股票的资产比例超过了相关法律法规或本基金合同的有关限制的风险；首发新股在可上市流通后，可能出现大量变现，导致不能以较低成本变现，或跌破发行价的风险；</w:t>
            </w:r>
            <w:r>
              <w:rPr>
                <w:rFonts w:hint="eastAsia" w:ascii="楷体" w:hAnsi="楷体" w:eastAsia="楷体"/>
                <w:color w:val="000000"/>
                <w:szCs w:val="21"/>
              </w:rPr>
              <w:t>新股申购获配股票可能存在锁定期，在遇到市场或所投股票出现不利波动时，可能出现基金管理人难以根据市场判断对投资组合进行调整，进而导致基金资产损失的风险。</w:t>
            </w:r>
          </w:p>
          <w:p w14:paraId="03E69F6A">
            <w:pPr>
              <w:jc w:val="left"/>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6）本基金如投资于定向增发股票，存在的风险包括但不限于：所投定增股票上市后，可能出现大量变现，导致不能以较低成本变现，或跌破发行价的风险；定向增发股票往往有一定锁定期，在遇到市场或所投股票出现不利波动时，可能出现基金管理人难以根据市场判断对投资组合进行调整，存在导致基金资产损失的风险。</w:t>
            </w:r>
          </w:p>
        </w:tc>
        <w:tc>
          <w:tcPr>
            <w:tcW w:w="3589" w:type="dxa"/>
          </w:tcPr>
          <w:p w14:paraId="52A67162">
            <w:pPr>
              <w:tabs>
                <w:tab w:val="left" w:pos="1300"/>
                <w:tab w:val="left" w:pos="6096"/>
              </w:tabs>
              <w:adjustRightInd w:val="0"/>
              <w:ind w:firstLine="420" w:firstLineChars="200"/>
              <w:rPr>
                <w:rFonts w:ascii="楷体" w:hAnsi="楷体" w:eastAsia="楷体"/>
                <w:i/>
                <w:color w:val="000000"/>
                <w:szCs w:val="21"/>
              </w:rPr>
            </w:pPr>
            <w:r>
              <w:rPr>
                <w:rFonts w:hint="eastAsia" w:ascii="楷体" w:hAnsi="楷体" w:eastAsia="楷体"/>
                <w:color w:val="000000"/>
                <w:szCs w:val="21"/>
              </w:rPr>
              <w:t>（三）本基金投资标的的相关风险</w:t>
            </w:r>
          </w:p>
          <w:p w14:paraId="2DF40C1F">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1、</w:t>
            </w:r>
            <w:r>
              <w:rPr>
                <w:rFonts w:hint="eastAsia" w:ascii="楷体" w:hAnsi="楷体" w:eastAsia="楷体"/>
                <w:color w:val="000000"/>
                <w:szCs w:val="21"/>
              </w:rPr>
              <w:t>投资于股票的风险包括但不限于：</w:t>
            </w:r>
          </w:p>
          <w:p w14:paraId="52D18C38">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1）</w:t>
            </w:r>
            <w:r>
              <w:rPr>
                <w:rFonts w:hint="eastAsia" w:ascii="楷体" w:hAnsi="楷体" w:eastAsia="楷体"/>
                <w:color w:val="000000"/>
                <w:szCs w:val="21"/>
              </w:rPr>
              <w:t>国家货币政策、财政政策、产业政策等的变化对证券市场产生一定的影响，导致股票市场价格水平波动；</w:t>
            </w:r>
          </w:p>
          <w:p w14:paraId="74763A94">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w:t>
            </w:r>
            <w:r>
              <w:rPr>
                <w:rFonts w:hint="eastAsia" w:ascii="楷体" w:hAnsi="楷体" w:eastAsia="楷体"/>
                <w:color w:val="000000"/>
                <w:szCs w:val="21"/>
              </w:rPr>
              <w:t>宏观经济运行周期性波动，可能对股票市场的收益水平产生影响；</w:t>
            </w:r>
          </w:p>
          <w:p w14:paraId="1740B9CD">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3）</w:t>
            </w:r>
            <w:r>
              <w:rPr>
                <w:rFonts w:hint="eastAsia" w:ascii="楷体" w:hAnsi="楷体" w:eastAsia="楷体"/>
                <w:color w:val="000000"/>
                <w:szCs w:val="21"/>
              </w:rPr>
              <w:t>上市公司的经营状况受多种因素影响，如市场、技术、竞争、管理、财务等都会导致公司盈利发生变化，从而导致股票价格波动。</w:t>
            </w:r>
          </w:p>
          <w:p w14:paraId="6FC3FBB0">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4）本基金如投资于科创板股票，存在的风险包括但不限于：</w:t>
            </w:r>
          </w:p>
          <w:p w14:paraId="3ACA5731">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A、科创板企业可能存在首次公开发行前未能连续盈利、公开发行并上市时尚未盈利、有累计未弥补亏损等情形，</w:t>
            </w:r>
            <w:r>
              <w:rPr>
                <w:rFonts w:hint="eastAsia" w:ascii="楷体" w:hAnsi="楷体" w:eastAsia="楷体"/>
                <w:color w:val="000000"/>
                <w:szCs w:val="21"/>
              </w:rPr>
              <w:t>因此上市后的持续创新能力、主营业务发展的可持续性、公司收入及盈利水平等仍具有较大不确定性，</w:t>
            </w:r>
            <w:r>
              <w:rPr>
                <w:rFonts w:ascii="楷体" w:hAnsi="楷体" w:eastAsia="楷体"/>
                <w:color w:val="000000"/>
                <w:szCs w:val="21"/>
              </w:rPr>
              <w:t>可能存在上市后仍无法盈利、持续亏损、无法进行利润分配等情形；</w:t>
            </w:r>
          </w:p>
          <w:p w14:paraId="5FB09D42">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B、科创板新股询价、定价、配售等环节由机构投资者主导。同时，因科创板企业普遍具有技术新、前景不确定、业绩波动大、风险高等特征，市场可比公司较少，发行定价难度较大，科创板股票上市后可能存在股价波动的风险；</w:t>
            </w:r>
          </w:p>
          <w:p w14:paraId="53858BBB">
            <w:pPr>
              <w:tabs>
                <w:tab w:val="left" w:pos="1300"/>
                <w:tab w:val="left" w:pos="6096"/>
              </w:tabs>
              <w:adjustRightInd w:val="0"/>
              <w:ind w:firstLine="420" w:firstLineChars="200"/>
              <w:rPr>
                <w:rFonts w:ascii="楷体" w:hAnsi="楷体" w:eastAsia="楷体"/>
                <w:color w:val="000000"/>
                <w:szCs w:val="21"/>
              </w:rPr>
            </w:pPr>
            <w:r>
              <w:rPr>
                <w:rFonts w:ascii="楷体" w:hAnsi="楷体" w:eastAsia="楷体"/>
                <w:color w:val="000000"/>
                <w:szCs w:val="21"/>
              </w:rPr>
              <w:t>C、科创板股票竞价交易</w:t>
            </w:r>
            <w:r>
              <w:rPr>
                <w:rFonts w:hint="eastAsia" w:ascii="楷体" w:hAnsi="楷体" w:eastAsia="楷体"/>
                <w:color w:val="000000"/>
                <w:szCs w:val="21"/>
              </w:rPr>
              <w:t>相较于其他板块</w:t>
            </w:r>
            <w:r>
              <w:rPr>
                <w:rFonts w:ascii="楷体" w:hAnsi="楷体" w:eastAsia="楷体"/>
                <w:color w:val="000000"/>
                <w:szCs w:val="21"/>
              </w:rPr>
              <w:t>设置较宽的涨跌幅限制，</w:t>
            </w:r>
            <w:r>
              <w:rPr>
                <w:rFonts w:hint="eastAsia" w:ascii="楷体" w:hAnsi="楷体" w:eastAsia="楷体"/>
                <w:color w:val="000000"/>
                <w:szCs w:val="21"/>
              </w:rPr>
              <w:t>其特殊交易规则</w:t>
            </w:r>
            <w:r>
              <w:rPr>
                <w:rFonts w:ascii="楷体" w:hAnsi="楷体" w:eastAsia="楷体"/>
                <w:color w:val="000000"/>
                <w:szCs w:val="21"/>
              </w:rPr>
              <w:t>可能</w:t>
            </w:r>
            <w:r>
              <w:rPr>
                <w:rFonts w:hint="eastAsia" w:ascii="楷体" w:hAnsi="楷体" w:eastAsia="楷体"/>
                <w:color w:val="000000"/>
                <w:szCs w:val="21"/>
              </w:rPr>
              <w:t>导致</w:t>
            </w:r>
            <w:r>
              <w:rPr>
                <w:rFonts w:ascii="楷体" w:hAnsi="楷体" w:eastAsia="楷体"/>
                <w:color w:val="000000"/>
                <w:szCs w:val="21"/>
              </w:rPr>
              <w:t>的股价波动</w:t>
            </w:r>
            <w:r>
              <w:rPr>
                <w:rFonts w:hint="eastAsia" w:ascii="楷体" w:hAnsi="楷体" w:eastAsia="楷体"/>
                <w:color w:val="000000"/>
                <w:szCs w:val="21"/>
              </w:rPr>
              <w:t>偏大</w:t>
            </w:r>
            <w:r>
              <w:rPr>
                <w:rFonts w:ascii="楷体" w:hAnsi="楷体" w:eastAsia="楷体"/>
                <w:color w:val="000000"/>
                <w:szCs w:val="21"/>
              </w:rPr>
              <w:t>；科创板股票交易盘中临时停牌情形和严重异常波动股票核查制度与上交主板市场规定不同。</w:t>
            </w:r>
          </w:p>
          <w:p w14:paraId="6E5C2143">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5）由于新股申购在市场特性、交易机制、投资特点和风险特性等方面与二级市场存在着一定的差别，参与新股申购存在某些特定风险，包括</w:t>
            </w:r>
            <w:r>
              <w:rPr>
                <w:rFonts w:hint="eastAsia" w:ascii="楷体" w:hAnsi="楷体" w:eastAsia="楷体"/>
                <w:color w:val="000000"/>
                <w:szCs w:val="21"/>
              </w:rPr>
              <w:t>但不限于：</w:t>
            </w:r>
            <w:r>
              <w:rPr>
                <w:rFonts w:ascii="楷体" w:hAnsi="楷体" w:eastAsia="楷体"/>
                <w:color w:val="000000"/>
                <w:szCs w:val="21"/>
              </w:rPr>
              <w:cr/>
            </w:r>
            <w:r>
              <w:rPr>
                <w:rFonts w:ascii="楷体" w:hAnsi="楷体" w:eastAsia="楷体"/>
                <w:color w:val="000000"/>
                <w:szCs w:val="21"/>
              </w:rPr>
              <w:t xml:space="preserve">    由于某只股票的网上申购中签率持续放大，本基金面临所持有的该股票的资产比例超过了相关法律法规或本基金合同的有关限制的风险</w:t>
            </w:r>
            <w:r>
              <w:rPr>
                <w:rFonts w:hint="eastAsia" w:ascii="楷体" w:hAnsi="楷体" w:eastAsia="楷体"/>
                <w:color w:val="000000"/>
                <w:szCs w:val="21"/>
              </w:rPr>
              <w:t>；</w:t>
            </w:r>
            <w:r>
              <w:rPr>
                <w:rFonts w:ascii="楷体" w:hAnsi="楷体" w:eastAsia="楷体"/>
                <w:color w:val="000000"/>
                <w:szCs w:val="21"/>
              </w:rPr>
              <w:t>首发新股在可上市流通后，可能出现大量变现，导致不能以较低成本变现，或跌破发行价的风险</w:t>
            </w:r>
            <w:r>
              <w:rPr>
                <w:rFonts w:hint="eastAsia" w:ascii="楷体" w:hAnsi="楷体" w:eastAsia="楷体"/>
                <w:color w:val="000000"/>
                <w:szCs w:val="21"/>
              </w:rPr>
              <w:t>；</w:t>
            </w:r>
            <w:r>
              <w:rPr>
                <w:rFonts w:ascii="楷体" w:hAnsi="楷体" w:eastAsia="楷体"/>
                <w:color w:val="000000"/>
                <w:szCs w:val="21"/>
              </w:rPr>
              <w:t>新股申购获配股票可能存在锁定期，在遇到市场或所投股票出现不利波动时，可能出现基金管理人难以根据市场判断对投资组合进行调整，</w:t>
            </w:r>
            <w:r>
              <w:rPr>
                <w:rFonts w:hint="eastAsia" w:ascii="楷体" w:hAnsi="楷体" w:eastAsia="楷体"/>
                <w:color w:val="000000"/>
                <w:szCs w:val="21"/>
              </w:rPr>
              <w:t>进而</w:t>
            </w:r>
            <w:r>
              <w:rPr>
                <w:rFonts w:ascii="楷体" w:hAnsi="楷体" w:eastAsia="楷体"/>
                <w:color w:val="000000"/>
                <w:szCs w:val="21"/>
              </w:rPr>
              <w:t>导致基金资产损失的</w:t>
            </w:r>
            <w:r>
              <w:rPr>
                <w:rFonts w:hint="eastAsia" w:ascii="楷体" w:hAnsi="楷体" w:eastAsia="楷体"/>
                <w:color w:val="000000"/>
                <w:szCs w:val="21"/>
              </w:rPr>
              <w:t>风险</w:t>
            </w:r>
            <w:r>
              <w:rPr>
                <w:rFonts w:ascii="楷体" w:hAnsi="楷体" w:eastAsia="楷体"/>
                <w:color w:val="000000"/>
                <w:szCs w:val="21"/>
              </w:rPr>
              <w:t>。</w:t>
            </w:r>
          </w:p>
          <w:p w14:paraId="3DC49150">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6）本基金如投资于定向增发股票，存在的风险包括</w:t>
            </w:r>
            <w:r>
              <w:rPr>
                <w:rFonts w:hint="eastAsia" w:ascii="楷体" w:hAnsi="楷体" w:eastAsia="楷体"/>
                <w:color w:val="000000"/>
                <w:szCs w:val="21"/>
              </w:rPr>
              <w:t>但</w:t>
            </w:r>
            <w:r>
              <w:rPr>
                <w:rFonts w:ascii="楷体" w:hAnsi="楷体" w:eastAsia="楷体"/>
                <w:color w:val="000000"/>
                <w:szCs w:val="21"/>
              </w:rPr>
              <w:t>不限于：</w:t>
            </w:r>
          </w:p>
          <w:p w14:paraId="53710F4F">
            <w:pPr>
              <w:tabs>
                <w:tab w:val="left" w:pos="1300"/>
                <w:tab w:val="left" w:pos="6096"/>
              </w:tabs>
              <w:adjustRightInd w:val="0"/>
              <w:ind w:firstLine="420" w:firstLineChars="200"/>
              <w:rPr>
                <w:rFonts w:ascii="楷体" w:hAnsi="楷体" w:eastAsia="楷体"/>
                <w:color w:val="000000"/>
                <w:szCs w:val="21"/>
              </w:rPr>
            </w:pPr>
            <w:r>
              <w:rPr>
                <w:rFonts w:hint="eastAsia" w:ascii="楷体" w:hAnsi="楷体" w:eastAsia="楷体"/>
                <w:color w:val="000000"/>
                <w:szCs w:val="21"/>
              </w:rPr>
              <w:t>所投定增股票上市后，可能出现大量变现，导致不能以较低成本变现，或跌破发行价的风险；定向增发股票往往有一定锁定期，在遇到市场或所投股票出现不利波动时，可能出现基金管理人难以根据市场判断对投资组合进行调整，存在导致基金资产损失的风险。</w:t>
            </w:r>
          </w:p>
          <w:p w14:paraId="61339471">
            <w:pPr>
              <w:tabs>
                <w:tab w:val="left" w:pos="1300"/>
                <w:tab w:val="left" w:pos="6096"/>
              </w:tabs>
              <w:adjustRightInd w:val="0"/>
              <w:ind w:firstLine="422" w:firstLineChars="200"/>
              <w:rPr>
                <w:rFonts w:ascii="楷体" w:hAnsi="楷体" w:eastAsia="楷体"/>
                <w:b/>
                <w:bCs/>
                <w:color w:val="000000"/>
                <w:szCs w:val="21"/>
              </w:rPr>
            </w:pPr>
            <w:r>
              <w:rPr>
                <w:rFonts w:hint="eastAsia" w:ascii="楷体" w:hAnsi="楷体" w:eastAsia="楷体"/>
                <w:b/>
                <w:bCs/>
                <w:color w:val="000000"/>
                <w:szCs w:val="21"/>
              </w:rPr>
              <w:t>（</w:t>
            </w:r>
            <w:r>
              <w:rPr>
                <w:rFonts w:ascii="楷体" w:hAnsi="楷体" w:eastAsia="楷体"/>
                <w:b/>
                <w:bCs/>
                <w:color w:val="000000"/>
                <w:szCs w:val="21"/>
              </w:rPr>
              <w:t>7）本基金如投资于北京证券交易所股票，存在的风险包括但不限于：</w:t>
            </w:r>
          </w:p>
          <w:p w14:paraId="6AA46B70">
            <w:pPr>
              <w:tabs>
                <w:tab w:val="left" w:pos="1300"/>
                <w:tab w:val="left" w:pos="6096"/>
              </w:tabs>
              <w:adjustRightInd w:val="0"/>
              <w:ind w:firstLine="422" w:firstLineChars="200"/>
              <w:rPr>
                <w:rFonts w:ascii="楷体" w:hAnsi="楷体" w:eastAsia="楷体"/>
                <w:b/>
                <w:bCs/>
                <w:color w:val="000000"/>
                <w:szCs w:val="21"/>
              </w:rPr>
            </w:pPr>
            <w:r>
              <w:rPr>
                <w:rFonts w:ascii="楷体" w:hAnsi="楷体" w:eastAsia="楷体"/>
                <w:b/>
                <w:bCs/>
                <w:color w:val="000000"/>
                <w:szCs w:val="21"/>
              </w:rPr>
              <w:t>A、股价涨跌风险：</w:t>
            </w:r>
            <w:r>
              <w:rPr>
                <w:rFonts w:hint="eastAsia" w:ascii="楷体" w:hAnsi="楷体" w:eastAsia="楷体"/>
                <w:b/>
                <w:bCs/>
                <w:color w:val="000000"/>
                <w:szCs w:val="21"/>
              </w:rPr>
              <w:t>北京证券交易所在证券发行、交易、投资者适当性等方面与沪深证券交易所的制度规则存在一定差别，包括北京证券交易所竞价交易较沪深证券交易所设置了更宽的涨跌幅限制</w:t>
            </w:r>
            <w:r>
              <w:rPr>
                <w:rFonts w:ascii="楷体" w:hAnsi="楷体" w:eastAsia="楷体"/>
                <w:b/>
                <w:bCs/>
                <w:color w:val="000000"/>
                <w:szCs w:val="21"/>
              </w:rPr>
              <w:t>，可能导致较大的股票价格波动</w:t>
            </w:r>
            <w:r>
              <w:rPr>
                <w:rFonts w:hint="eastAsia" w:ascii="楷体" w:hAnsi="楷体" w:eastAsia="楷体"/>
                <w:b/>
                <w:bCs/>
                <w:color w:val="000000"/>
                <w:szCs w:val="21"/>
              </w:rPr>
              <w:t>。</w:t>
            </w:r>
          </w:p>
          <w:p w14:paraId="6E6B0FA6">
            <w:pPr>
              <w:tabs>
                <w:tab w:val="left" w:pos="1300"/>
                <w:tab w:val="left" w:pos="6096"/>
              </w:tabs>
              <w:adjustRightInd w:val="0"/>
              <w:ind w:firstLine="422" w:firstLineChars="200"/>
              <w:rPr>
                <w:rFonts w:ascii="楷体" w:hAnsi="楷体" w:eastAsia="楷体"/>
                <w:b/>
                <w:bCs/>
                <w:color w:val="000000"/>
                <w:szCs w:val="21"/>
              </w:rPr>
            </w:pPr>
            <w:r>
              <w:rPr>
                <w:rFonts w:ascii="楷体" w:hAnsi="楷体" w:eastAsia="楷体"/>
                <w:b/>
                <w:bCs/>
                <w:color w:val="000000"/>
                <w:szCs w:val="21"/>
              </w:rPr>
              <w:t>B、流动性风险：</w:t>
            </w:r>
            <w:r>
              <w:rPr>
                <w:rFonts w:hint="eastAsia" w:ascii="楷体" w:hAnsi="楷体" w:eastAsia="楷体"/>
                <w:b/>
                <w:bCs/>
                <w:color w:val="000000"/>
                <w:szCs w:val="21"/>
              </w:rPr>
              <w:t>北京证券交易所</w:t>
            </w:r>
            <w:r>
              <w:rPr>
                <w:rFonts w:ascii="楷体" w:hAnsi="楷体" w:eastAsia="楷体"/>
                <w:b/>
                <w:bCs/>
                <w:color w:val="000000"/>
                <w:szCs w:val="21"/>
              </w:rPr>
              <w:t>上市企业规模</w:t>
            </w:r>
            <w:r>
              <w:rPr>
                <w:rFonts w:hint="eastAsia" w:ascii="楷体" w:hAnsi="楷体" w:eastAsia="楷体"/>
                <w:b/>
                <w:bCs/>
                <w:color w:val="000000"/>
                <w:szCs w:val="21"/>
              </w:rPr>
              <w:t>较</w:t>
            </w:r>
            <w:r>
              <w:rPr>
                <w:rFonts w:ascii="楷体" w:hAnsi="楷体" w:eastAsia="楷体"/>
                <w:b/>
                <w:bCs/>
                <w:color w:val="000000"/>
                <w:szCs w:val="21"/>
              </w:rPr>
              <w:t>小，部分企业股权较为集中，</w:t>
            </w:r>
            <w:r>
              <w:rPr>
                <w:rFonts w:hint="eastAsia" w:ascii="楷体" w:hAnsi="楷体" w:eastAsia="楷体"/>
                <w:b/>
                <w:bCs/>
                <w:color w:val="000000"/>
                <w:szCs w:val="21"/>
              </w:rPr>
              <w:t>日间交易相对不活跃</w:t>
            </w:r>
            <w:r>
              <w:rPr>
                <w:rFonts w:ascii="楷体" w:hAnsi="楷体" w:eastAsia="楷体"/>
                <w:b/>
                <w:bCs/>
                <w:color w:val="000000"/>
                <w:szCs w:val="21"/>
              </w:rPr>
              <w:t>，可能导致基金面临无法及时变现</w:t>
            </w:r>
            <w:r>
              <w:rPr>
                <w:rFonts w:hint="eastAsia" w:ascii="楷体" w:hAnsi="楷体" w:eastAsia="楷体"/>
                <w:b/>
                <w:bCs/>
                <w:color w:val="000000"/>
                <w:szCs w:val="21"/>
              </w:rPr>
              <w:t>的</w:t>
            </w:r>
            <w:r>
              <w:rPr>
                <w:rFonts w:ascii="楷体" w:hAnsi="楷体" w:eastAsia="楷体"/>
                <w:b/>
                <w:bCs/>
                <w:color w:val="000000"/>
                <w:szCs w:val="21"/>
              </w:rPr>
              <w:t>风险。</w:t>
            </w:r>
          </w:p>
          <w:p w14:paraId="08B1AF36">
            <w:pPr>
              <w:tabs>
                <w:tab w:val="left" w:pos="1300"/>
                <w:tab w:val="left" w:pos="6096"/>
              </w:tabs>
              <w:adjustRightInd w:val="0"/>
              <w:ind w:firstLine="422" w:firstLineChars="200"/>
              <w:rPr>
                <w:rFonts w:ascii="楷体" w:hAnsi="楷体" w:eastAsia="楷体"/>
                <w:b/>
                <w:bCs/>
                <w:color w:val="000000"/>
                <w:szCs w:val="21"/>
              </w:rPr>
            </w:pPr>
            <w:r>
              <w:rPr>
                <w:rFonts w:ascii="楷体" w:hAnsi="楷体" w:eastAsia="楷体"/>
                <w:b/>
                <w:bCs/>
                <w:color w:val="000000"/>
                <w:szCs w:val="21"/>
              </w:rPr>
              <w:t>C、中小企业经营风险：北京证券交易所上市企业为创新型中小企业，该类企业往往具有规模小、对技术依赖高、迭代快、议价能力不强等特点，抗市场风险和行业风险能力较弱，存在因产品、经营模式、相关政策变化而出现经营失败的风险</w:t>
            </w:r>
            <w:r>
              <w:rPr>
                <w:rFonts w:hint="eastAsia" w:ascii="楷体" w:hAnsi="楷体" w:eastAsia="楷体"/>
                <w:b/>
                <w:bCs/>
                <w:color w:val="000000"/>
                <w:szCs w:val="21"/>
              </w:rPr>
              <w:t>。</w:t>
            </w:r>
          </w:p>
          <w:p w14:paraId="7B6E8B8C">
            <w:pPr>
              <w:tabs>
                <w:tab w:val="left" w:pos="1300"/>
                <w:tab w:val="left" w:pos="6096"/>
              </w:tabs>
              <w:adjustRightInd w:val="0"/>
              <w:ind w:firstLine="422" w:firstLineChars="200"/>
              <w:jc w:val="left"/>
              <w:rPr>
                <w:rFonts w:ascii="楷体" w:hAnsi="楷体" w:eastAsia="楷体"/>
                <w:color w:val="000000"/>
                <w:szCs w:val="21"/>
              </w:rPr>
            </w:pPr>
            <w:r>
              <w:rPr>
                <w:rFonts w:ascii="楷体" w:hAnsi="楷体" w:eastAsia="楷体"/>
                <w:b/>
                <w:bCs/>
                <w:color w:val="000000"/>
                <w:szCs w:val="21"/>
              </w:rPr>
              <w:t>D、上市公司退市风险：根据北京证券交易所退市制度，上市企业退市情形</w:t>
            </w:r>
            <w:r>
              <w:rPr>
                <w:rFonts w:hint="eastAsia" w:ascii="楷体" w:hAnsi="楷体" w:eastAsia="楷体"/>
                <w:b/>
                <w:bCs/>
                <w:color w:val="000000"/>
                <w:szCs w:val="21"/>
              </w:rPr>
              <w:t>可能相对</w:t>
            </w:r>
            <w:r>
              <w:rPr>
                <w:rFonts w:ascii="楷体" w:hAnsi="楷体" w:eastAsia="楷体"/>
                <w:b/>
                <w:bCs/>
                <w:color w:val="000000"/>
                <w:szCs w:val="21"/>
              </w:rPr>
              <w:t>较多，一旦所投资的上市企业进入退市流程，有可能退入新三板创新层或基础层挂牌交易，或转入退市公司板块，</w:t>
            </w:r>
            <w:r>
              <w:rPr>
                <w:rFonts w:hint="eastAsia" w:ascii="楷体" w:hAnsi="楷体" w:eastAsia="楷体"/>
                <w:b/>
                <w:bCs/>
                <w:color w:val="000000"/>
                <w:szCs w:val="21"/>
              </w:rPr>
              <w:t>对</w:t>
            </w:r>
            <w:r>
              <w:rPr>
                <w:rFonts w:ascii="楷体" w:hAnsi="楷体" w:eastAsia="楷体"/>
                <w:b/>
                <w:bCs/>
                <w:color w:val="000000"/>
                <w:szCs w:val="21"/>
              </w:rPr>
              <w:t>基金净值</w:t>
            </w:r>
            <w:r>
              <w:rPr>
                <w:rFonts w:hint="eastAsia" w:ascii="楷体" w:hAnsi="楷体" w:eastAsia="楷体"/>
                <w:b/>
                <w:bCs/>
                <w:color w:val="000000"/>
                <w:szCs w:val="21"/>
              </w:rPr>
              <w:t>可能将</w:t>
            </w:r>
            <w:r>
              <w:rPr>
                <w:rFonts w:ascii="楷体" w:hAnsi="楷体" w:eastAsia="楷体"/>
                <w:b/>
                <w:bCs/>
                <w:color w:val="000000"/>
                <w:szCs w:val="21"/>
              </w:rPr>
              <w:t>造成不利影响。</w:t>
            </w:r>
          </w:p>
        </w:tc>
      </w:tr>
      <w:tr w14:paraId="6E4F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38F73554">
            <w:pPr>
              <w:rPr>
                <w:rFonts w:ascii="楷体" w:hAnsi="楷体" w:eastAsia="楷体"/>
                <w:color w:val="000000"/>
                <w:szCs w:val="21"/>
              </w:rPr>
            </w:pPr>
            <w:r>
              <w:rPr>
                <w:rFonts w:hint="eastAsia" w:ascii="楷体" w:hAnsi="楷体" w:eastAsia="楷体"/>
                <w:color w:val="000000"/>
                <w:szCs w:val="21"/>
              </w:rPr>
              <w:t>十八、风险揭示</w:t>
            </w:r>
          </w:p>
        </w:tc>
        <w:tc>
          <w:tcPr>
            <w:tcW w:w="6697" w:type="dxa"/>
            <w:gridSpan w:val="2"/>
          </w:tcPr>
          <w:p w14:paraId="4F36F924">
            <w:pPr>
              <w:tabs>
                <w:tab w:val="left" w:pos="1300"/>
                <w:tab w:val="left" w:pos="6096"/>
              </w:tabs>
              <w:adjustRightInd w:val="0"/>
              <w:ind w:firstLine="420" w:firstLineChars="200"/>
              <w:contextualSpacing/>
              <w:rPr>
                <w:rFonts w:ascii="楷体" w:hAnsi="楷体" w:eastAsia="楷体"/>
                <w:color w:val="000000"/>
                <w:szCs w:val="21"/>
              </w:rPr>
            </w:pPr>
            <w:r>
              <w:rPr>
                <w:rFonts w:hint="eastAsia" w:ascii="楷体" w:hAnsi="楷体" w:eastAsia="楷体"/>
                <w:color w:val="000000"/>
                <w:szCs w:val="21"/>
              </w:rPr>
              <w:t>（四）本基金产品设计相关风险</w:t>
            </w:r>
          </w:p>
          <w:p w14:paraId="309F0C66">
            <w:pPr>
              <w:tabs>
                <w:tab w:val="left" w:pos="1300"/>
                <w:tab w:val="left" w:pos="6096"/>
              </w:tabs>
              <w:adjustRightInd w:val="0"/>
              <w:ind w:firstLine="420" w:firstLineChars="200"/>
              <w:contextualSpacing/>
              <w:rPr>
                <w:rFonts w:ascii="楷体" w:hAnsi="楷体" w:eastAsia="楷体"/>
                <w:color w:val="000000"/>
                <w:szCs w:val="21"/>
              </w:rPr>
            </w:pPr>
            <w:r>
              <w:rPr>
                <w:rFonts w:hint="eastAsia" w:ascii="楷体" w:hAnsi="楷体" w:eastAsia="楷体"/>
                <w:color w:val="000000"/>
                <w:szCs w:val="21"/>
              </w:rPr>
              <w:t>删除：</w:t>
            </w:r>
          </w:p>
          <w:p w14:paraId="2E268130">
            <w:pPr>
              <w:tabs>
                <w:tab w:val="left" w:pos="1300"/>
                <w:tab w:val="left" w:pos="6096"/>
              </w:tabs>
              <w:adjustRightInd w:val="0"/>
              <w:ind w:firstLine="420" w:firstLineChars="200"/>
              <w:contextualSpacing/>
              <w:rPr>
                <w:rFonts w:ascii="楷体" w:hAnsi="楷体" w:eastAsia="楷体"/>
                <w:b/>
                <w:color w:val="000000"/>
                <w:szCs w:val="21"/>
              </w:rPr>
            </w:pPr>
            <w:r>
              <w:rPr>
                <w:rFonts w:hint="eastAsia" w:ascii="楷体" w:hAnsi="楷体" w:eastAsia="楷体"/>
                <w:color w:val="000000"/>
                <w:szCs w:val="21"/>
              </w:rPr>
              <w:t>“</w:t>
            </w:r>
            <w:r>
              <w:rPr>
                <w:rFonts w:ascii="楷体" w:hAnsi="楷体" w:eastAsia="楷体"/>
                <w:b/>
                <w:color w:val="000000"/>
                <w:szCs w:val="21"/>
              </w:rPr>
              <w:t>4、在固定时点计提业绩报酬的风险</w:t>
            </w:r>
          </w:p>
          <w:p w14:paraId="350E2F4F">
            <w:pPr>
              <w:ind w:firstLine="422" w:firstLineChars="200"/>
              <w:jc w:val="left"/>
              <w:rPr>
                <w:rFonts w:ascii="楷体" w:hAnsi="楷体" w:eastAsia="楷体"/>
                <w:color w:val="000000"/>
                <w:szCs w:val="21"/>
              </w:rPr>
            </w:pPr>
            <w:r>
              <w:rPr>
                <w:rFonts w:hint="eastAsia" w:ascii="楷体" w:hAnsi="楷体" w:eastAsia="楷体"/>
                <w:b/>
                <w:color w:val="000000"/>
                <w:szCs w:val="21"/>
              </w:rPr>
              <w:t>本基金在固定时点计提业绩报酬。固定时点计提业绩报酬的，基金份额净值不会降低，但基金份额持有人所持有的基金份额减少，且该时点对于未赎回基金份额的基金投资者来说，其可能既不能享受收益分配，也不能赎回基金份额，但基金管理人计提业绩报酬，基金份额持有人所持有份额的价值减少，且</w:t>
            </w:r>
            <w:r>
              <w:rPr>
                <w:rFonts w:ascii="楷体" w:hAnsi="楷体" w:eastAsia="楷体"/>
                <w:b/>
                <w:color w:val="000000"/>
                <w:szCs w:val="21"/>
              </w:rPr>
              <w:t>若将来基金份额净值下跌，基金管理人不会就已计提的业绩报酬进行回拨，基金投资者可能承担最终投资收益减少甚至亏损本金，但基金管理人仍已按照较高的历史投资收益计提了业绩报酬的风险。</w:t>
            </w:r>
            <w:r>
              <w:rPr>
                <w:rFonts w:hint="eastAsia" w:ascii="楷体" w:hAnsi="楷体" w:eastAsia="楷体"/>
                <w:color w:val="000000"/>
                <w:szCs w:val="21"/>
              </w:rPr>
              <w:t>”</w:t>
            </w:r>
          </w:p>
        </w:tc>
      </w:tr>
      <w:tr w14:paraId="0E3B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14:paraId="7D2C49B7">
            <w:pPr>
              <w:rPr>
                <w:rFonts w:ascii="楷体" w:hAnsi="楷体" w:eastAsia="楷体"/>
                <w:color w:val="000000"/>
                <w:szCs w:val="21"/>
              </w:rPr>
            </w:pPr>
            <w:r>
              <w:rPr>
                <w:rFonts w:hint="eastAsia" w:ascii="楷体" w:hAnsi="楷体" w:eastAsia="楷体"/>
                <w:color w:val="000000"/>
                <w:szCs w:val="21"/>
              </w:rPr>
              <w:t>十八、风险揭示</w:t>
            </w:r>
          </w:p>
        </w:tc>
        <w:tc>
          <w:tcPr>
            <w:tcW w:w="6697" w:type="dxa"/>
            <w:gridSpan w:val="2"/>
          </w:tcPr>
          <w:p w14:paraId="4DA24550">
            <w:pPr>
              <w:tabs>
                <w:tab w:val="left" w:pos="1300"/>
                <w:tab w:val="left" w:pos="6096"/>
              </w:tabs>
              <w:adjustRightInd w:val="0"/>
              <w:ind w:firstLine="420" w:firstLineChars="200"/>
              <w:contextualSpacing/>
              <w:rPr>
                <w:rFonts w:ascii="楷体" w:hAnsi="楷体" w:eastAsia="楷体"/>
                <w:color w:val="000000"/>
                <w:szCs w:val="21"/>
              </w:rPr>
            </w:pPr>
            <w:r>
              <w:rPr>
                <w:rFonts w:hint="eastAsia" w:ascii="楷体" w:hAnsi="楷体" w:eastAsia="楷体"/>
                <w:color w:val="000000"/>
                <w:szCs w:val="21"/>
              </w:rPr>
              <w:t>（四）本基金产品设计相关风险</w:t>
            </w:r>
          </w:p>
          <w:p w14:paraId="36E0E90C">
            <w:pPr>
              <w:tabs>
                <w:tab w:val="left" w:pos="1300"/>
                <w:tab w:val="left" w:pos="6096"/>
              </w:tabs>
              <w:adjustRightInd w:val="0"/>
              <w:ind w:firstLine="420" w:firstLineChars="200"/>
              <w:contextualSpacing/>
              <w:rPr>
                <w:rFonts w:ascii="楷体" w:hAnsi="楷体" w:eastAsia="楷体"/>
                <w:color w:val="000000"/>
                <w:szCs w:val="21"/>
              </w:rPr>
            </w:pPr>
            <w:r>
              <w:rPr>
                <w:rFonts w:hint="eastAsia" w:ascii="楷体" w:hAnsi="楷体" w:eastAsia="楷体"/>
                <w:color w:val="000000"/>
                <w:szCs w:val="21"/>
              </w:rPr>
              <w:t>新增：</w:t>
            </w:r>
          </w:p>
          <w:p w14:paraId="71CC93DF">
            <w:pPr>
              <w:tabs>
                <w:tab w:val="left" w:pos="1300"/>
                <w:tab w:val="left" w:pos="6096"/>
              </w:tabs>
              <w:adjustRightInd w:val="0"/>
              <w:ind w:firstLine="420" w:firstLineChars="200"/>
              <w:contextualSpacing/>
              <w:rPr>
                <w:rFonts w:ascii="楷体" w:hAnsi="楷体" w:eastAsia="楷体"/>
                <w:b/>
                <w:bCs/>
                <w:color w:val="000000"/>
                <w:szCs w:val="21"/>
              </w:rPr>
            </w:pPr>
            <w:r>
              <w:rPr>
                <w:rFonts w:hint="eastAsia" w:ascii="楷体" w:hAnsi="楷体" w:eastAsia="楷体"/>
                <w:color w:val="000000"/>
                <w:szCs w:val="21"/>
              </w:rPr>
              <w:t>“</w:t>
            </w:r>
            <w:r>
              <w:rPr>
                <w:rFonts w:ascii="楷体" w:hAnsi="楷体" w:eastAsia="楷体"/>
                <w:b/>
                <w:bCs/>
                <w:color w:val="000000"/>
                <w:szCs w:val="21"/>
              </w:rPr>
              <w:t>4、在收益分配日计提业绩报酬的风险</w:t>
            </w:r>
          </w:p>
          <w:p w14:paraId="4FD437F1">
            <w:pPr>
              <w:tabs>
                <w:tab w:val="left" w:pos="1300"/>
                <w:tab w:val="left" w:pos="6096"/>
              </w:tabs>
              <w:adjustRightInd w:val="0"/>
              <w:ind w:firstLine="422" w:firstLineChars="200"/>
              <w:contextualSpacing/>
              <w:jc w:val="left"/>
              <w:rPr>
                <w:rFonts w:ascii="楷体" w:hAnsi="楷体" w:eastAsia="楷体"/>
                <w:color w:val="000000"/>
                <w:szCs w:val="21"/>
              </w:rPr>
            </w:pPr>
            <w:r>
              <w:rPr>
                <w:rFonts w:hint="eastAsia" w:ascii="楷体" w:hAnsi="楷体" w:eastAsia="楷体"/>
                <w:b/>
                <w:bCs/>
                <w:color w:val="000000"/>
                <w:szCs w:val="21"/>
              </w:rPr>
              <w:t>本基金</w:t>
            </w:r>
            <w:r>
              <w:rPr>
                <w:rFonts w:ascii="楷体" w:hAnsi="楷体" w:eastAsia="楷体"/>
                <w:b/>
                <w:bCs/>
                <w:color w:val="000000"/>
                <w:szCs w:val="21"/>
              </w:rPr>
              <w:t>在</w:t>
            </w:r>
            <w:r>
              <w:rPr>
                <w:rFonts w:hint="eastAsia" w:ascii="楷体" w:hAnsi="楷体" w:eastAsia="楷体"/>
                <w:b/>
                <w:bCs/>
                <w:color w:val="000000"/>
                <w:szCs w:val="21"/>
              </w:rPr>
              <w:t>收益分配日计提业绩报酬，对于单个基金投资者，可能存在业绩报酬金额大于或者等于收益分配金额的情况，基金投资者面临在该收益分配日无法实际获得收益分配的风险</w:t>
            </w:r>
            <w:r>
              <w:rPr>
                <w:rFonts w:hint="eastAsia" w:ascii="楷体" w:hAnsi="楷体" w:eastAsia="楷体"/>
                <w:color w:val="000000"/>
                <w:szCs w:val="21"/>
              </w:rPr>
              <w:t>”。</w:t>
            </w:r>
          </w:p>
        </w:tc>
      </w:tr>
    </w:tbl>
    <w:p w14:paraId="645800EF">
      <w:pPr>
        <w:spacing w:line="360" w:lineRule="auto"/>
        <w:ind w:firstLine="480" w:firstLineChars="200"/>
        <w:rPr>
          <w:rFonts w:ascii="楷体" w:hAnsi="楷体" w:eastAsia="楷体"/>
          <w:color w:val="000000"/>
          <w:sz w:val="24"/>
        </w:rPr>
      </w:pPr>
    </w:p>
    <w:p w14:paraId="0CB347E1">
      <w:pPr>
        <w:spacing w:line="360" w:lineRule="auto"/>
        <w:ind w:firstLine="482" w:firstLineChars="200"/>
        <w:rPr>
          <w:rFonts w:ascii="楷体" w:hAnsi="楷体" w:eastAsia="楷体"/>
          <w:b/>
          <w:color w:val="000000"/>
          <w:sz w:val="24"/>
        </w:rPr>
      </w:pPr>
      <w:r>
        <w:rPr>
          <w:rFonts w:ascii="楷体" w:hAnsi="楷体" w:eastAsia="楷体"/>
          <w:b/>
          <w:color w:val="000000"/>
          <w:sz w:val="24"/>
        </w:rPr>
        <w:t>二、</w:t>
      </w:r>
      <w:r>
        <w:rPr>
          <w:rFonts w:hint="eastAsia" w:ascii="楷体" w:hAnsi="楷体" w:eastAsia="楷体"/>
          <w:b/>
          <w:color w:val="000000"/>
          <w:sz w:val="24"/>
        </w:rPr>
        <w:t>风险揭示</w:t>
      </w:r>
    </w:p>
    <w:p w14:paraId="1F95F6B3">
      <w:pPr>
        <w:tabs>
          <w:tab w:val="left" w:pos="6096"/>
        </w:tabs>
        <w:topLinePunct/>
        <w:spacing w:line="360" w:lineRule="auto"/>
        <w:ind w:firstLine="482" w:firstLineChars="200"/>
        <w:rPr>
          <w:rFonts w:ascii="楷体" w:hAnsi="楷体" w:eastAsia="楷体"/>
          <w:b/>
          <w:color w:val="000000"/>
          <w:sz w:val="24"/>
          <w:szCs w:val="24"/>
        </w:rPr>
      </w:pPr>
      <w:r>
        <w:rPr>
          <w:rFonts w:ascii="楷体" w:hAnsi="楷体" w:eastAsia="楷体"/>
          <w:b/>
          <w:color w:val="000000"/>
          <w:sz w:val="24"/>
          <w:szCs w:val="24"/>
        </w:rPr>
        <w:t>1、本基金修改了业绩报酬计提事项，可能会提高业绩报酬，提高业绩报酬有助于激励基金管理人更好地管理本基金、为投资者创造更高的基金收益，但如在基金收益率没有明显提高的情况下，也可能造成投资者获得的投资收益减少。</w:t>
      </w:r>
    </w:p>
    <w:p w14:paraId="4A2CFBDF">
      <w:pPr>
        <w:tabs>
          <w:tab w:val="left" w:pos="1300"/>
          <w:tab w:val="left" w:pos="6096"/>
        </w:tabs>
        <w:adjustRightInd w:val="0"/>
        <w:spacing w:line="360" w:lineRule="auto"/>
        <w:ind w:firstLine="482" w:firstLineChars="200"/>
        <w:contextualSpacing/>
        <w:rPr>
          <w:rFonts w:ascii="楷体" w:hAnsi="楷体" w:eastAsia="楷体"/>
          <w:b/>
          <w:color w:val="000000"/>
          <w:sz w:val="24"/>
          <w:szCs w:val="24"/>
        </w:rPr>
      </w:pPr>
      <w:r>
        <w:rPr>
          <w:rFonts w:hint="eastAsia" w:ascii="楷体" w:hAnsi="楷体" w:eastAsia="楷体"/>
          <w:b/>
          <w:color w:val="000000"/>
          <w:sz w:val="24"/>
          <w:szCs w:val="24"/>
        </w:rPr>
        <w:t>2、本基金在收益分配日计提业绩报酬，对于单个基金投资者，可能存在业绩报酬金额大于或者等于收益分配金额的情况，基金投资者面临在该收益分配日无法实际获得收益分配的风险。</w:t>
      </w:r>
    </w:p>
    <w:p w14:paraId="52D0B206">
      <w:pPr>
        <w:spacing w:line="360" w:lineRule="auto"/>
        <w:ind w:firstLine="482" w:firstLineChars="200"/>
        <w:rPr>
          <w:rFonts w:ascii="楷体" w:hAnsi="楷体" w:eastAsia="楷体"/>
          <w:b/>
          <w:color w:val="000000"/>
          <w:sz w:val="24"/>
        </w:rPr>
      </w:pPr>
    </w:p>
    <w:p w14:paraId="4F7C7893">
      <w:pPr>
        <w:spacing w:line="360" w:lineRule="auto"/>
        <w:ind w:firstLine="482" w:firstLineChars="200"/>
        <w:rPr>
          <w:rFonts w:ascii="楷体" w:hAnsi="楷体" w:eastAsia="楷体"/>
          <w:b/>
          <w:color w:val="000000"/>
          <w:sz w:val="24"/>
        </w:rPr>
      </w:pPr>
      <w:r>
        <w:rPr>
          <w:rFonts w:ascii="楷体" w:hAnsi="楷体" w:eastAsia="楷体"/>
          <w:b/>
          <w:color w:val="000000"/>
          <w:sz w:val="24"/>
        </w:rPr>
        <w:t>三、</w:t>
      </w:r>
      <w:r>
        <w:rPr>
          <w:rFonts w:hint="eastAsia" w:ascii="楷体" w:hAnsi="楷体" w:eastAsia="楷体"/>
          <w:b/>
          <w:color w:val="000000"/>
          <w:sz w:val="24"/>
        </w:rPr>
        <w:t>补充协议的生效</w:t>
      </w:r>
    </w:p>
    <w:p w14:paraId="7892601C">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w:t>
      </w:r>
      <w:r>
        <w:rPr>
          <w:rFonts w:ascii="楷体" w:hAnsi="楷体" w:eastAsia="楷体"/>
          <w:b/>
          <w:color w:val="000000"/>
          <w:sz w:val="24"/>
        </w:rPr>
        <w:t>本</w:t>
      </w:r>
      <w:r>
        <w:rPr>
          <w:rFonts w:hint="eastAsia" w:ascii="楷体" w:hAnsi="楷体" w:eastAsia="楷体"/>
          <w:b/>
          <w:color w:val="000000"/>
          <w:sz w:val="24"/>
        </w:rPr>
        <w:t>补充</w:t>
      </w:r>
      <w:r>
        <w:rPr>
          <w:rFonts w:ascii="楷体" w:hAnsi="楷体" w:eastAsia="楷体"/>
          <w:b/>
          <w:color w:val="000000"/>
          <w:sz w:val="24"/>
        </w:rPr>
        <w:t>协议</w:t>
      </w:r>
      <w:r>
        <w:rPr>
          <w:rFonts w:hint="eastAsia" w:ascii="楷体" w:hAnsi="楷体" w:eastAsia="楷体"/>
          <w:b/>
          <w:color w:val="000000"/>
          <w:sz w:val="24"/>
        </w:rPr>
        <w:t>同时</w:t>
      </w:r>
      <w:r>
        <w:rPr>
          <w:rFonts w:ascii="楷体" w:hAnsi="楷体" w:eastAsia="楷体"/>
          <w:b/>
          <w:color w:val="000000"/>
          <w:sz w:val="24"/>
        </w:rPr>
        <w:t>满足以下条件后生效：</w:t>
      </w:r>
    </w:p>
    <w:p w14:paraId="5DD26FE1">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（1）全体基金份额持有人、基金管理人、基金托管人合法签署；</w:t>
      </w:r>
    </w:p>
    <w:p w14:paraId="1ECD9E59">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（2）基金管理人将《生效通知》（见附件一）告知基金托管人；</w:t>
      </w:r>
    </w:p>
    <w:p w14:paraId="7B803EC6">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（3）基金管理人以网站公告/邮件/电话或原合同约定的其他方式将本补充协议生效日告知全体基金份额持有人。</w:t>
      </w:r>
    </w:p>
    <w:p w14:paraId="4432AC6A">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2、本补充协议生效的特别条款：</w:t>
      </w:r>
    </w:p>
    <w:p w14:paraId="2A5AFFD8">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（1）本补充协议生效日以《生效通知》载明的生效日期为准，基金管理人对本补充协议生效日的准确性、合法性负责；</w:t>
      </w:r>
    </w:p>
    <w:p w14:paraId="12AED95A">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 xml:space="preserve">（2）本补充协议的生效日不早于基金管理人将《生效通知》通知到基金托管人的日期，由于基金管理人未及时通知基金托管人而导致的损失由基金管理人承担； </w:t>
      </w:r>
    </w:p>
    <w:p w14:paraId="23B78D7B">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（3）关于本补充协议生效事项，基金管理人负责通知基金份额持有人，基金托管人对于基金管理人是否通知基金份额持有人不承担监督责任。</w:t>
      </w:r>
    </w:p>
    <w:p w14:paraId="599C7EB1">
      <w:pPr>
        <w:spacing w:line="360" w:lineRule="auto"/>
        <w:ind w:firstLine="480" w:firstLineChars="200"/>
        <w:rPr>
          <w:rFonts w:ascii="楷体" w:hAnsi="楷体" w:eastAsia="楷体"/>
          <w:color w:val="000000"/>
          <w:sz w:val="24"/>
        </w:rPr>
      </w:pPr>
      <w:r>
        <w:rPr>
          <w:rFonts w:ascii="楷体" w:hAnsi="楷体" w:eastAsia="楷体"/>
          <w:color w:val="000000"/>
          <w:sz w:val="24"/>
        </w:rPr>
        <w:t>3、因</w:t>
      </w:r>
      <w:r>
        <w:rPr>
          <w:rFonts w:hint="eastAsia" w:ascii="楷体" w:hAnsi="楷体" w:eastAsia="楷体"/>
          <w:color w:val="000000"/>
          <w:sz w:val="24"/>
        </w:rPr>
        <w:t>基金管理人未妥善履行职责致使本补充协议不满足上述生效条件而</w:t>
      </w:r>
      <w:r>
        <w:rPr>
          <w:rFonts w:ascii="楷体" w:hAnsi="楷体" w:eastAsia="楷体"/>
          <w:color w:val="000000"/>
          <w:sz w:val="24"/>
        </w:rPr>
        <w:t>无法生效的，由</w:t>
      </w:r>
      <w:r>
        <w:rPr>
          <w:rFonts w:hint="eastAsia" w:ascii="楷体" w:hAnsi="楷体" w:eastAsia="楷体"/>
          <w:color w:val="000000"/>
          <w:sz w:val="24"/>
        </w:rPr>
        <w:t>基金</w:t>
      </w:r>
      <w:r>
        <w:rPr>
          <w:rFonts w:ascii="楷体" w:hAnsi="楷体" w:eastAsia="楷体"/>
          <w:color w:val="000000"/>
          <w:sz w:val="24"/>
        </w:rPr>
        <w:t>管理人承担</w:t>
      </w:r>
      <w:r>
        <w:rPr>
          <w:rFonts w:hint="eastAsia" w:ascii="楷体" w:hAnsi="楷体" w:eastAsia="楷体"/>
          <w:color w:val="000000"/>
          <w:sz w:val="24"/>
        </w:rPr>
        <w:t>相应</w:t>
      </w:r>
      <w:r>
        <w:rPr>
          <w:rFonts w:ascii="楷体" w:hAnsi="楷体" w:eastAsia="楷体"/>
          <w:color w:val="000000"/>
          <w:sz w:val="24"/>
        </w:rPr>
        <w:t>责任。</w:t>
      </w:r>
    </w:p>
    <w:p w14:paraId="3BDB7667">
      <w:pPr>
        <w:spacing w:line="360" w:lineRule="auto"/>
        <w:ind w:firstLine="480" w:firstLineChars="200"/>
        <w:rPr>
          <w:rFonts w:ascii="楷体" w:hAnsi="楷体" w:eastAsia="楷体"/>
          <w:color w:val="000000"/>
          <w:sz w:val="24"/>
        </w:rPr>
      </w:pPr>
    </w:p>
    <w:p w14:paraId="6D308B55">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四、附则</w:t>
      </w:r>
    </w:p>
    <w:p w14:paraId="198F5D2C">
      <w:pPr>
        <w:spacing w:line="360" w:lineRule="auto"/>
        <w:ind w:firstLine="480" w:firstLineChars="200"/>
        <w:rPr>
          <w:rFonts w:ascii="楷体" w:hAnsi="楷体" w:eastAsia="楷体"/>
          <w:color w:val="000000"/>
          <w:sz w:val="24"/>
        </w:rPr>
      </w:pPr>
      <w:r>
        <w:rPr>
          <w:rFonts w:hint="eastAsia" w:ascii="楷体" w:hAnsi="楷体" w:eastAsia="楷体"/>
          <w:color w:val="000000"/>
          <w:sz w:val="24"/>
        </w:rPr>
        <w:t>1、基金管理人承诺全体基金份额持有人均已合法合规并有效签署原合同和本补充协议。</w:t>
      </w:r>
    </w:p>
    <w:p w14:paraId="47530628">
      <w:pPr>
        <w:spacing w:line="360" w:lineRule="auto"/>
        <w:ind w:firstLine="480" w:firstLineChars="200"/>
        <w:rPr>
          <w:rFonts w:ascii="楷体" w:hAnsi="楷体" w:eastAsia="楷体"/>
          <w:color w:val="000000"/>
          <w:sz w:val="24"/>
        </w:rPr>
      </w:pPr>
      <w:r>
        <w:rPr>
          <w:rFonts w:hint="eastAsia" w:ascii="楷体" w:hAnsi="楷体" w:eastAsia="楷体"/>
          <w:color w:val="000000"/>
          <w:sz w:val="24"/>
        </w:rPr>
        <w:t>2、基金管理人应及时向基金托管人移交本补充协议生效件，并保证</w:t>
      </w:r>
      <w:r>
        <w:rPr>
          <w:rFonts w:ascii="楷体" w:hAnsi="楷体" w:eastAsia="楷体"/>
          <w:color w:val="000000"/>
          <w:sz w:val="24"/>
        </w:rPr>
        <w:t>提供给</w:t>
      </w:r>
      <w:r>
        <w:rPr>
          <w:rFonts w:hint="eastAsia" w:ascii="楷体" w:hAnsi="楷体" w:eastAsia="楷体"/>
          <w:color w:val="000000"/>
          <w:sz w:val="24"/>
        </w:rPr>
        <w:t>基金</w:t>
      </w:r>
      <w:r>
        <w:rPr>
          <w:rFonts w:ascii="楷体" w:hAnsi="楷体" w:eastAsia="楷体"/>
          <w:color w:val="000000"/>
          <w:sz w:val="24"/>
        </w:rPr>
        <w:t>托管人的本补充协议</w:t>
      </w:r>
      <w:r>
        <w:rPr>
          <w:rFonts w:hint="eastAsia" w:ascii="楷体" w:hAnsi="楷体" w:eastAsia="楷体"/>
          <w:color w:val="000000"/>
          <w:sz w:val="24"/>
        </w:rPr>
        <w:t>生效件</w:t>
      </w:r>
      <w:r>
        <w:rPr>
          <w:rFonts w:ascii="楷体" w:hAnsi="楷体" w:eastAsia="楷体"/>
          <w:color w:val="000000"/>
          <w:sz w:val="24"/>
        </w:rPr>
        <w:t>的真实性</w:t>
      </w:r>
      <w:r>
        <w:rPr>
          <w:rFonts w:hint="eastAsia" w:ascii="楷体" w:hAnsi="楷体" w:eastAsia="楷体"/>
          <w:color w:val="000000"/>
          <w:sz w:val="24"/>
        </w:rPr>
        <w:t>、</w:t>
      </w:r>
      <w:r>
        <w:rPr>
          <w:rFonts w:ascii="楷体" w:hAnsi="楷体" w:eastAsia="楷体"/>
          <w:color w:val="000000"/>
          <w:sz w:val="24"/>
        </w:rPr>
        <w:t>完整性</w:t>
      </w:r>
      <w:r>
        <w:rPr>
          <w:rFonts w:hint="eastAsia" w:ascii="楷体" w:hAnsi="楷体" w:eastAsia="楷体"/>
          <w:color w:val="000000"/>
          <w:sz w:val="24"/>
        </w:rPr>
        <w:t>、准确性和有效性。</w:t>
      </w:r>
    </w:p>
    <w:p w14:paraId="01E422F1">
      <w:pPr>
        <w:spacing w:line="360" w:lineRule="auto"/>
        <w:ind w:firstLine="480" w:firstLineChars="200"/>
        <w:rPr>
          <w:rFonts w:ascii="楷体" w:hAnsi="楷体" w:eastAsia="楷体"/>
          <w:color w:val="000000"/>
          <w:sz w:val="24"/>
        </w:rPr>
      </w:pPr>
      <w:r>
        <w:rPr>
          <w:rFonts w:hint="eastAsia" w:ascii="楷体" w:hAnsi="楷体" w:eastAsia="楷体"/>
          <w:color w:val="000000"/>
          <w:sz w:val="24"/>
        </w:rPr>
        <w:t>3、本补充协议生效后，基金管理人应按照法律法规规定及原合同约定履行备案变更手续等相关义务。</w:t>
      </w:r>
    </w:p>
    <w:p w14:paraId="40B3C686">
      <w:pPr>
        <w:spacing w:line="360" w:lineRule="auto"/>
        <w:ind w:firstLine="480" w:firstLineChars="200"/>
        <w:rPr>
          <w:rFonts w:ascii="楷体" w:hAnsi="楷体" w:eastAsia="楷体"/>
          <w:color w:val="000000"/>
          <w:sz w:val="24"/>
        </w:rPr>
      </w:pPr>
      <w:r>
        <w:rPr>
          <w:rFonts w:hint="eastAsia" w:ascii="楷体" w:hAnsi="楷体" w:eastAsia="楷体"/>
          <w:color w:val="000000"/>
          <w:sz w:val="24"/>
        </w:rPr>
        <w:t>4、</w:t>
      </w:r>
      <w:r>
        <w:rPr>
          <w:rFonts w:ascii="楷体" w:hAnsi="楷体" w:eastAsia="楷体"/>
          <w:color w:val="000000"/>
          <w:sz w:val="24"/>
        </w:rPr>
        <w:t>本补充协议与原合同中约定不一致的条款，以本补充协议内容为准，本补充协议未作约定的，仍以原合同内容为准。</w:t>
      </w:r>
    </w:p>
    <w:p w14:paraId="01E54730">
      <w:pPr>
        <w:spacing w:line="360" w:lineRule="auto"/>
        <w:ind w:firstLine="480" w:firstLineChars="200"/>
        <w:rPr>
          <w:rFonts w:ascii="楷体" w:hAnsi="楷体" w:eastAsia="楷体"/>
          <w:color w:val="000000"/>
          <w:sz w:val="24"/>
        </w:rPr>
      </w:pPr>
      <w:r>
        <w:rPr>
          <w:rFonts w:hint="eastAsia" w:ascii="楷体" w:hAnsi="楷体" w:eastAsia="楷体"/>
          <w:color w:val="000000"/>
          <w:sz w:val="24"/>
        </w:rPr>
        <w:t>5、</w:t>
      </w:r>
      <w:r>
        <w:rPr>
          <w:rFonts w:ascii="楷体" w:hAnsi="楷体" w:eastAsia="楷体"/>
          <w:color w:val="000000"/>
          <w:sz w:val="24"/>
        </w:rPr>
        <w:t>本补充协议一式叁份，</w:t>
      </w:r>
      <w:r>
        <w:rPr>
          <w:rFonts w:hint="eastAsia" w:ascii="楷体" w:hAnsi="楷体" w:eastAsia="楷体"/>
          <w:color w:val="000000"/>
          <w:sz w:val="24"/>
        </w:rPr>
        <w:t>基金份额持有人</w:t>
      </w:r>
      <w:r>
        <w:rPr>
          <w:rFonts w:ascii="楷体" w:hAnsi="楷体" w:eastAsia="楷体"/>
          <w:color w:val="000000"/>
          <w:sz w:val="24"/>
        </w:rPr>
        <w:t>、</w:t>
      </w:r>
      <w:r>
        <w:rPr>
          <w:rFonts w:hint="eastAsia" w:ascii="楷体" w:hAnsi="楷体" w:eastAsia="楷体"/>
          <w:color w:val="000000"/>
          <w:sz w:val="24"/>
        </w:rPr>
        <w:t>基金管理人</w:t>
      </w:r>
      <w:r>
        <w:rPr>
          <w:rFonts w:ascii="楷体" w:hAnsi="楷体" w:eastAsia="楷体"/>
          <w:color w:val="000000"/>
          <w:sz w:val="24"/>
        </w:rPr>
        <w:t>、</w:t>
      </w:r>
      <w:r>
        <w:rPr>
          <w:rFonts w:hint="eastAsia" w:ascii="楷体" w:hAnsi="楷体" w:eastAsia="楷体"/>
          <w:color w:val="000000"/>
          <w:sz w:val="24"/>
        </w:rPr>
        <w:t>基金托管人</w:t>
      </w:r>
      <w:r>
        <w:rPr>
          <w:rFonts w:ascii="楷体" w:hAnsi="楷体" w:eastAsia="楷体"/>
          <w:color w:val="000000"/>
          <w:sz w:val="24"/>
        </w:rPr>
        <w:t>三方各执一份，每份具有同等的法律效力。</w:t>
      </w:r>
    </w:p>
    <w:p w14:paraId="26B1003F">
      <w:pPr>
        <w:ind w:firstLine="480" w:firstLineChars="200"/>
        <w:rPr>
          <w:rFonts w:ascii="楷体" w:hAnsi="楷体" w:eastAsia="楷体"/>
          <w:color w:val="000000"/>
          <w:sz w:val="24"/>
        </w:rPr>
      </w:pPr>
      <w:r>
        <w:rPr>
          <w:rFonts w:ascii="楷体" w:hAnsi="楷体" w:eastAsia="楷体"/>
          <w:color w:val="000000"/>
          <w:sz w:val="24"/>
        </w:rPr>
        <w:t>（以下无正文）</w:t>
      </w:r>
    </w:p>
    <w:p w14:paraId="5DE076DD">
      <w:pPr>
        <w:spacing w:line="360" w:lineRule="auto"/>
        <w:jc w:val="center"/>
        <w:rPr>
          <w:rFonts w:ascii="楷体" w:hAnsi="楷体" w:eastAsia="楷体"/>
          <w:color w:val="000000"/>
          <w:sz w:val="24"/>
        </w:rPr>
      </w:pPr>
      <w:r>
        <w:rPr>
          <w:rFonts w:ascii="楷体" w:hAnsi="楷体" w:eastAsia="楷体"/>
          <w:color w:val="000000"/>
          <w:sz w:val="24"/>
        </w:rPr>
        <w:br w:type="page"/>
      </w:r>
      <w:r>
        <w:rPr>
          <w:rFonts w:hint="eastAsia" w:ascii="楷体" w:hAnsi="楷体" w:eastAsia="楷体"/>
          <w:color w:val="000000"/>
          <w:sz w:val="24"/>
        </w:rPr>
        <w:t>（</w:t>
      </w:r>
      <w:r>
        <w:rPr>
          <w:rFonts w:ascii="楷体" w:hAnsi="楷体" w:eastAsia="楷体"/>
          <w:color w:val="000000"/>
          <w:sz w:val="24"/>
        </w:rPr>
        <w:t>本页无正文，为《</w:t>
      </w:r>
      <w:r>
        <w:rPr>
          <w:rFonts w:hint="eastAsia" w:ascii="楷体" w:hAnsi="楷体" w:eastAsia="楷体"/>
          <w:color w:val="000000"/>
          <w:sz w:val="24"/>
        </w:rPr>
        <w:t>安合融信匠人匠心6号私募证券投资基金基金合同补充协议（二）</w:t>
      </w:r>
      <w:r>
        <w:rPr>
          <w:rFonts w:ascii="楷体" w:hAnsi="楷体" w:eastAsia="楷体"/>
          <w:color w:val="000000"/>
          <w:sz w:val="24"/>
        </w:rPr>
        <w:t>》签署页</w:t>
      </w:r>
      <w:r>
        <w:rPr>
          <w:rFonts w:hint="eastAsia" w:ascii="楷体" w:hAnsi="楷体" w:eastAsia="楷体"/>
          <w:color w:val="000000"/>
          <w:sz w:val="24"/>
        </w:rPr>
        <w:t>）</w:t>
      </w:r>
    </w:p>
    <w:p w14:paraId="33125DF5">
      <w:pPr>
        <w:spacing w:line="360" w:lineRule="auto"/>
        <w:rPr>
          <w:rFonts w:ascii="楷体" w:hAnsi="楷体" w:eastAsia="楷体"/>
          <w:color w:val="000000"/>
          <w:sz w:val="24"/>
        </w:rPr>
      </w:pPr>
    </w:p>
    <w:p w14:paraId="2EF81297">
      <w:pPr>
        <w:tabs>
          <w:tab w:val="left" w:pos="6096"/>
        </w:tabs>
        <w:spacing w:line="360" w:lineRule="auto"/>
        <w:rPr>
          <w:rFonts w:ascii="楷体" w:hAnsi="楷体" w:eastAsia="楷体"/>
          <w:color w:val="000000"/>
          <w:sz w:val="24"/>
        </w:rPr>
      </w:pPr>
      <w:r>
        <w:rPr>
          <w:rFonts w:ascii="楷体" w:hAnsi="楷体" w:eastAsia="楷体"/>
          <w:b/>
          <w:color w:val="000000"/>
          <w:sz w:val="24"/>
        </w:rPr>
        <w:t>基金</w:t>
      </w:r>
      <w:r>
        <w:rPr>
          <w:rFonts w:hint="eastAsia" w:ascii="楷体" w:hAnsi="楷体" w:eastAsia="楷体"/>
          <w:b/>
          <w:color w:val="000000"/>
          <w:sz w:val="24"/>
        </w:rPr>
        <w:t>份额持有人</w:t>
      </w:r>
      <w:r>
        <w:rPr>
          <w:rFonts w:ascii="楷体" w:hAnsi="楷体" w:eastAsia="楷体"/>
          <w:b/>
          <w:color w:val="000000"/>
          <w:sz w:val="24"/>
        </w:rPr>
        <w:t>：</w:t>
      </w:r>
      <w:r>
        <w:rPr>
          <w:rFonts w:ascii="楷体" w:hAnsi="楷体" w:eastAsia="楷体"/>
          <w:color w:val="000000"/>
          <w:sz w:val="24"/>
        </w:rPr>
        <w:t xml:space="preserve">         （</w:t>
      </w:r>
      <w:r>
        <w:rPr>
          <w:rFonts w:hint="eastAsia" w:ascii="楷体" w:hAnsi="楷体" w:eastAsia="楷体" w:cs="楷体"/>
          <w:color w:val="000000"/>
          <w:kern w:val="0"/>
          <w:sz w:val="24"/>
          <w:szCs w:val="24"/>
        </w:rPr>
        <w:t>签章</w:t>
      </w:r>
      <w:r>
        <w:rPr>
          <w:rFonts w:ascii="楷体" w:hAnsi="楷体" w:eastAsia="楷体"/>
          <w:color w:val="000000"/>
          <w:sz w:val="24"/>
        </w:rPr>
        <w:t>）</w:t>
      </w:r>
    </w:p>
    <w:p w14:paraId="691234F2">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66085DF3">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06F9EB3C">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4E6CBA7A">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5C05F1B9">
      <w:pPr>
        <w:tabs>
          <w:tab w:val="left" w:pos="6096"/>
        </w:tabs>
        <w:spacing w:line="360" w:lineRule="auto"/>
        <w:ind w:firstLine="480"/>
        <w:rPr>
          <w:rFonts w:ascii="楷体" w:hAnsi="楷体" w:eastAsia="楷体"/>
          <w:color w:val="000000"/>
          <w:sz w:val="24"/>
        </w:rPr>
      </w:pPr>
    </w:p>
    <w:p w14:paraId="3843F225">
      <w:pPr>
        <w:tabs>
          <w:tab w:val="left" w:pos="6096"/>
        </w:tabs>
        <w:spacing w:line="360" w:lineRule="auto"/>
        <w:rPr>
          <w:rFonts w:ascii="楷体" w:hAnsi="楷体" w:eastAsia="楷体"/>
          <w:color w:val="000000"/>
          <w:sz w:val="24"/>
        </w:rPr>
      </w:pPr>
      <w:r>
        <w:rPr>
          <w:rFonts w:ascii="楷体" w:hAnsi="楷体" w:eastAsia="楷体"/>
          <w:b/>
          <w:color w:val="000000"/>
          <w:sz w:val="24"/>
        </w:rPr>
        <w:t>基金管理人：</w:t>
      </w:r>
      <w:r>
        <w:rPr>
          <w:rFonts w:hint="eastAsia" w:ascii="楷体" w:hAnsi="楷体" w:eastAsia="楷体"/>
          <w:color w:val="000000"/>
          <w:sz w:val="24"/>
        </w:rPr>
        <w:t>安合融信（青岛）私募基金管理有限公司</w:t>
      </w:r>
      <w:r>
        <w:rPr>
          <w:rFonts w:ascii="楷体" w:hAnsi="楷体" w:eastAsia="楷体"/>
          <w:color w:val="000000"/>
          <w:sz w:val="24"/>
        </w:rPr>
        <w:t>（</w:t>
      </w:r>
      <w:r>
        <w:rPr>
          <w:rFonts w:hint="eastAsia" w:ascii="楷体" w:hAnsi="楷体" w:eastAsia="楷体"/>
          <w:color w:val="000000"/>
          <w:sz w:val="24"/>
        </w:rPr>
        <w:t>签章</w:t>
      </w:r>
      <w:r>
        <w:rPr>
          <w:rFonts w:ascii="楷体" w:hAnsi="楷体" w:eastAsia="楷体"/>
          <w:color w:val="000000"/>
          <w:sz w:val="24"/>
        </w:rPr>
        <w:t>）</w:t>
      </w:r>
    </w:p>
    <w:p w14:paraId="322A6D1D">
      <w:pPr>
        <w:tabs>
          <w:tab w:val="left" w:pos="6096"/>
        </w:tabs>
        <w:spacing w:line="360" w:lineRule="auto"/>
        <w:ind w:firstLine="480"/>
        <w:rPr>
          <w:rFonts w:ascii="楷体" w:hAnsi="楷体" w:eastAsia="楷体"/>
          <w:color w:val="000000"/>
          <w:sz w:val="24"/>
        </w:rPr>
      </w:pPr>
    </w:p>
    <w:p w14:paraId="2597E7E2">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3065A45D">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4E922C88">
      <w:pPr>
        <w:tabs>
          <w:tab w:val="left" w:pos="6096"/>
        </w:tabs>
        <w:spacing w:line="360" w:lineRule="auto"/>
        <w:ind w:firstLine="480"/>
        <w:rPr>
          <w:rFonts w:ascii="楷体" w:hAnsi="楷体" w:eastAsia="楷体"/>
          <w:color w:val="000000"/>
          <w:sz w:val="24"/>
        </w:rPr>
      </w:pPr>
    </w:p>
    <w:p w14:paraId="129C57BB">
      <w:pPr>
        <w:tabs>
          <w:tab w:val="left" w:pos="6096"/>
        </w:tabs>
        <w:spacing w:line="360" w:lineRule="auto"/>
        <w:ind w:firstLine="480"/>
        <w:rPr>
          <w:rFonts w:ascii="楷体" w:hAnsi="楷体" w:eastAsia="楷体"/>
          <w:color w:val="000000"/>
          <w:sz w:val="24"/>
        </w:rPr>
      </w:pPr>
    </w:p>
    <w:p w14:paraId="27224CE4">
      <w:pPr>
        <w:tabs>
          <w:tab w:val="left" w:pos="6096"/>
        </w:tabs>
        <w:spacing w:line="360" w:lineRule="auto"/>
        <w:rPr>
          <w:rFonts w:ascii="楷体" w:hAnsi="楷体" w:eastAsia="楷体"/>
          <w:color w:val="000000"/>
          <w:sz w:val="24"/>
        </w:rPr>
      </w:pPr>
      <w:r>
        <w:rPr>
          <w:rFonts w:ascii="楷体" w:hAnsi="楷体" w:eastAsia="楷体"/>
          <w:b/>
          <w:color w:val="000000"/>
          <w:sz w:val="24"/>
        </w:rPr>
        <w:t>基金托管人：</w:t>
      </w:r>
      <w:r>
        <w:rPr>
          <w:rFonts w:ascii="楷体" w:hAnsi="楷体" w:eastAsia="楷体"/>
          <w:color w:val="000000"/>
          <w:sz w:val="24"/>
        </w:rPr>
        <w:t>华泰证券股份有限公司（</w:t>
      </w:r>
      <w:r>
        <w:rPr>
          <w:rFonts w:hint="eastAsia" w:ascii="楷体" w:hAnsi="楷体" w:eastAsia="楷体"/>
          <w:color w:val="000000"/>
          <w:sz w:val="24"/>
        </w:rPr>
        <w:t>签章</w:t>
      </w:r>
      <w:r>
        <w:rPr>
          <w:rFonts w:ascii="楷体" w:hAnsi="楷体" w:eastAsia="楷体"/>
          <w:color w:val="000000"/>
          <w:sz w:val="24"/>
        </w:rPr>
        <w:t>）</w:t>
      </w:r>
    </w:p>
    <w:p w14:paraId="0A47E905">
      <w:pPr>
        <w:tabs>
          <w:tab w:val="left" w:pos="6096"/>
        </w:tabs>
        <w:spacing w:line="360" w:lineRule="auto"/>
        <w:ind w:firstLine="480"/>
        <w:rPr>
          <w:rFonts w:ascii="楷体" w:hAnsi="楷体" w:eastAsia="楷体"/>
          <w:color w:val="000000"/>
          <w:sz w:val="24"/>
        </w:rPr>
      </w:pPr>
    </w:p>
    <w:p w14:paraId="20901EA4">
      <w:pPr>
        <w:tabs>
          <w:tab w:val="left" w:pos="6096"/>
        </w:tabs>
        <w:spacing w:line="360" w:lineRule="auto"/>
        <w:ind w:firstLine="480"/>
        <w:rPr>
          <w:rFonts w:ascii="楷体" w:hAnsi="楷体" w:eastAsia="楷体"/>
          <w:color w:val="000000"/>
          <w:sz w:val="24"/>
        </w:rPr>
      </w:pPr>
    </w:p>
    <w:p w14:paraId="07791CA4">
      <w:pPr>
        <w:tabs>
          <w:tab w:val="left" w:pos="6096"/>
        </w:tabs>
        <w:spacing w:line="360" w:lineRule="auto"/>
        <w:rPr>
          <w:rFonts w:ascii="楷体" w:hAnsi="楷体" w:eastAsia="楷体"/>
          <w:color w:val="000000"/>
          <w:sz w:val="24"/>
        </w:rPr>
      </w:pPr>
      <w:r>
        <w:rPr>
          <w:rFonts w:ascii="楷体" w:hAnsi="楷体" w:eastAsia="楷体"/>
          <w:color w:val="000000"/>
          <w:sz w:val="24"/>
        </w:rPr>
        <w:t>法定代表人或</w:t>
      </w:r>
      <w:r>
        <w:rPr>
          <w:rFonts w:hint="eastAsia" w:ascii="楷体" w:hAnsi="楷体" w:eastAsia="楷体"/>
          <w:color w:val="000000"/>
          <w:sz w:val="24"/>
        </w:rPr>
        <w:t>授权代理人</w:t>
      </w:r>
      <w:r>
        <w:rPr>
          <w:rFonts w:ascii="楷体" w:hAnsi="楷体" w:eastAsia="楷体"/>
          <w:color w:val="000000"/>
          <w:sz w:val="24"/>
        </w:rPr>
        <w:t>：</w:t>
      </w:r>
    </w:p>
    <w:p w14:paraId="49DD8034">
      <w:pPr>
        <w:tabs>
          <w:tab w:val="left" w:pos="6096"/>
        </w:tabs>
        <w:spacing w:line="360" w:lineRule="auto"/>
        <w:ind w:firstLine="480"/>
        <w:rPr>
          <w:rFonts w:ascii="楷体" w:hAnsi="楷体" w:eastAsia="楷体"/>
          <w:color w:val="000000"/>
          <w:sz w:val="24"/>
        </w:rPr>
      </w:pPr>
    </w:p>
    <w:p w14:paraId="55E2AAAC">
      <w:pPr>
        <w:tabs>
          <w:tab w:val="left" w:pos="6096"/>
        </w:tabs>
        <w:spacing w:line="360" w:lineRule="auto"/>
        <w:ind w:firstLine="480"/>
        <w:rPr>
          <w:rFonts w:ascii="楷体" w:hAnsi="楷体" w:eastAsia="楷体"/>
          <w:color w:val="000000"/>
          <w:sz w:val="24"/>
        </w:rPr>
      </w:pPr>
    </w:p>
    <w:p w14:paraId="134B7B01">
      <w:pPr>
        <w:tabs>
          <w:tab w:val="left" w:pos="6096"/>
        </w:tabs>
        <w:spacing w:line="360" w:lineRule="auto"/>
        <w:rPr>
          <w:rFonts w:ascii="楷体" w:hAnsi="楷体" w:eastAsia="楷体"/>
          <w:color w:val="000000"/>
          <w:sz w:val="24"/>
        </w:rPr>
      </w:pPr>
      <w:r>
        <w:rPr>
          <w:rFonts w:ascii="楷体" w:hAnsi="楷体" w:eastAsia="楷体"/>
          <w:color w:val="000000"/>
          <w:sz w:val="24"/>
        </w:rPr>
        <w:t>签署日期：</w:t>
      </w:r>
      <w:r>
        <w:rPr>
          <w:rFonts w:hint="eastAsia" w:ascii="楷体" w:hAnsi="楷体" w:eastAsia="楷体"/>
          <w:color w:val="000000"/>
          <w:sz w:val="24"/>
        </w:rPr>
        <w:t xml:space="preserve">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42B03873">
      <w:pPr>
        <w:spacing w:line="360" w:lineRule="auto"/>
        <w:rPr>
          <w:rFonts w:ascii="楷体" w:hAnsi="楷体" w:eastAsia="楷体"/>
          <w:color w:val="000000"/>
          <w:sz w:val="24"/>
        </w:rPr>
      </w:pPr>
    </w:p>
    <w:p w14:paraId="290DF71C">
      <w:pPr>
        <w:rPr>
          <w:rFonts w:ascii="楷体" w:hAnsi="楷体" w:eastAsia="楷体"/>
          <w:b/>
          <w:color w:val="000000"/>
        </w:rPr>
      </w:pPr>
      <w:r>
        <w:rPr>
          <w:rFonts w:ascii="楷体" w:hAnsi="楷体" w:eastAsia="楷体"/>
          <w:color w:val="000000"/>
        </w:rPr>
        <w:br w:type="page"/>
      </w:r>
      <w:r>
        <w:rPr>
          <w:rFonts w:ascii="楷体" w:hAnsi="楷体" w:eastAsia="楷体"/>
          <w:b/>
          <w:color w:val="000000"/>
          <w:sz w:val="28"/>
          <w:szCs w:val="28"/>
        </w:rPr>
        <w:t>附件</w:t>
      </w:r>
      <w:r>
        <w:rPr>
          <w:rFonts w:hint="eastAsia" w:ascii="楷体" w:hAnsi="楷体" w:eastAsia="楷体"/>
          <w:b/>
          <w:color w:val="000000"/>
          <w:sz w:val="28"/>
          <w:szCs w:val="28"/>
        </w:rPr>
        <w:t>一</w:t>
      </w:r>
      <w:r>
        <w:rPr>
          <w:rFonts w:ascii="楷体" w:hAnsi="楷体" w:eastAsia="楷体"/>
          <w:b/>
          <w:color w:val="000000"/>
          <w:sz w:val="28"/>
          <w:szCs w:val="28"/>
        </w:rPr>
        <w:t>：</w:t>
      </w:r>
    </w:p>
    <w:p w14:paraId="33B1E8A3">
      <w:pPr>
        <w:rPr>
          <w:rFonts w:ascii="楷体" w:hAnsi="楷体" w:eastAsia="楷体"/>
          <w:color w:val="000000"/>
        </w:rPr>
      </w:pPr>
    </w:p>
    <w:p w14:paraId="673B0FCD">
      <w:pPr>
        <w:jc w:val="center"/>
        <w:rPr>
          <w:rFonts w:ascii="楷体" w:hAnsi="楷体" w:eastAsia="楷体"/>
          <w:b/>
          <w:color w:val="000000"/>
          <w:sz w:val="28"/>
          <w:szCs w:val="28"/>
        </w:rPr>
      </w:pPr>
      <w:r>
        <w:rPr>
          <w:rFonts w:ascii="楷体" w:hAnsi="楷体" w:eastAsia="楷体"/>
          <w:b/>
          <w:color w:val="000000"/>
          <w:sz w:val="28"/>
          <w:szCs w:val="28"/>
        </w:rPr>
        <w:t>关于《**基金合同补充协议（X）》</w:t>
      </w:r>
    </w:p>
    <w:p w14:paraId="0548C6F2">
      <w:pPr>
        <w:jc w:val="center"/>
        <w:rPr>
          <w:rFonts w:ascii="楷体" w:hAnsi="楷体" w:eastAsia="楷体"/>
          <w:b/>
          <w:color w:val="000000"/>
          <w:sz w:val="28"/>
          <w:szCs w:val="28"/>
        </w:rPr>
      </w:pPr>
      <w:r>
        <w:rPr>
          <w:rFonts w:ascii="楷体" w:hAnsi="楷体" w:eastAsia="楷体"/>
          <w:b/>
          <w:color w:val="000000"/>
          <w:sz w:val="28"/>
          <w:szCs w:val="28"/>
        </w:rPr>
        <w:t>生效</w:t>
      </w:r>
      <w:r>
        <w:rPr>
          <w:rFonts w:hint="eastAsia" w:ascii="楷体" w:hAnsi="楷体" w:eastAsia="楷体"/>
          <w:b/>
          <w:color w:val="000000"/>
          <w:sz w:val="28"/>
          <w:szCs w:val="28"/>
        </w:rPr>
        <w:t>通知（样本）</w:t>
      </w:r>
    </w:p>
    <w:p w14:paraId="2F0A819F">
      <w:pPr>
        <w:rPr>
          <w:rFonts w:ascii="楷体" w:hAnsi="楷体" w:eastAsia="楷体"/>
          <w:color w:val="000000"/>
        </w:rPr>
      </w:pPr>
    </w:p>
    <w:p w14:paraId="4053B295">
      <w:pPr>
        <w:rPr>
          <w:rFonts w:ascii="楷体" w:hAnsi="楷体" w:eastAsia="楷体"/>
          <w:b/>
          <w:color w:val="000000"/>
          <w:sz w:val="28"/>
          <w:szCs w:val="28"/>
        </w:rPr>
      </w:pPr>
      <w:r>
        <w:rPr>
          <w:rFonts w:ascii="楷体" w:hAnsi="楷体" w:eastAsia="楷体"/>
          <w:b/>
          <w:color w:val="000000"/>
          <w:sz w:val="28"/>
          <w:szCs w:val="28"/>
        </w:rPr>
        <w:t>华泰证券股份有限公司：</w:t>
      </w:r>
    </w:p>
    <w:p w14:paraId="7A657A41">
      <w:pPr>
        <w:spacing w:line="360" w:lineRule="auto"/>
        <w:ind w:firstLine="420"/>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w:t>
      </w:r>
      <w:r>
        <w:rPr>
          <w:rFonts w:ascii="楷体" w:hAnsi="楷体" w:eastAsia="楷体"/>
          <w:color w:val="000000"/>
          <w:sz w:val="24"/>
          <w:szCs w:val="24"/>
        </w:rPr>
        <w:t>基金合同补充协议</w:t>
      </w:r>
      <w:r>
        <w:rPr>
          <w:rFonts w:hint="eastAsia" w:ascii="楷体" w:hAnsi="楷体" w:eastAsia="楷体"/>
          <w:color w:val="000000"/>
          <w:sz w:val="24"/>
          <w:szCs w:val="24"/>
        </w:rPr>
        <w:t>（X）</w:t>
      </w:r>
      <w:r>
        <w:rPr>
          <w:rFonts w:ascii="楷体" w:hAnsi="楷体" w:eastAsia="楷体"/>
          <w:color w:val="000000"/>
          <w:sz w:val="24"/>
          <w:szCs w:val="24"/>
        </w:rPr>
        <w:t>》（以下简称“本</w:t>
      </w:r>
      <w:r>
        <w:rPr>
          <w:rFonts w:hint="eastAsia" w:ascii="楷体" w:hAnsi="楷体" w:eastAsia="楷体"/>
          <w:color w:val="000000"/>
          <w:sz w:val="24"/>
          <w:szCs w:val="24"/>
        </w:rPr>
        <w:t>补充</w:t>
      </w:r>
      <w:r>
        <w:rPr>
          <w:rFonts w:ascii="楷体" w:hAnsi="楷体" w:eastAsia="楷体"/>
          <w:color w:val="000000"/>
          <w:sz w:val="24"/>
          <w:szCs w:val="24"/>
        </w:rPr>
        <w:t>协议”）</w:t>
      </w:r>
      <w:r>
        <w:rPr>
          <w:rFonts w:hint="eastAsia" w:ascii="楷体" w:hAnsi="楷体" w:eastAsia="楷体"/>
          <w:color w:val="000000"/>
          <w:sz w:val="24"/>
          <w:szCs w:val="24"/>
        </w:rPr>
        <w:t>涉及的全体基金份额持有人、基金管理人、基金托管人</w:t>
      </w:r>
      <w:r>
        <w:rPr>
          <w:rFonts w:ascii="楷体" w:hAnsi="楷体" w:eastAsia="楷体"/>
          <w:color w:val="000000"/>
          <w:sz w:val="24"/>
          <w:szCs w:val="24"/>
        </w:rPr>
        <w:t>均已完成签署</w:t>
      </w:r>
      <w:r>
        <w:rPr>
          <w:rFonts w:hint="eastAsia" w:ascii="楷体" w:hAnsi="楷体" w:eastAsia="楷体"/>
          <w:color w:val="000000"/>
          <w:sz w:val="24"/>
          <w:szCs w:val="24"/>
        </w:rPr>
        <w:t>。经我公司审核确认，全体基</w:t>
      </w:r>
      <w:r>
        <w:rPr>
          <w:rFonts w:ascii="楷体" w:hAnsi="楷体" w:eastAsia="楷体"/>
          <w:color w:val="000000"/>
          <w:sz w:val="24"/>
          <w:szCs w:val="24"/>
        </w:rPr>
        <w:t>金份额持有人的签章</w:t>
      </w:r>
      <w:r>
        <w:rPr>
          <w:rFonts w:hint="eastAsia" w:ascii="楷体" w:hAnsi="楷体" w:eastAsia="楷体"/>
          <w:color w:val="000000"/>
          <w:sz w:val="24"/>
          <w:szCs w:val="24"/>
        </w:rPr>
        <w:t>均</w:t>
      </w:r>
      <w:r>
        <w:rPr>
          <w:rFonts w:ascii="楷体" w:hAnsi="楷体" w:eastAsia="楷体"/>
          <w:color w:val="000000"/>
          <w:sz w:val="24"/>
          <w:szCs w:val="24"/>
        </w:rPr>
        <w:t>真实、</w:t>
      </w:r>
      <w:r>
        <w:rPr>
          <w:rFonts w:hint="eastAsia" w:ascii="楷体" w:hAnsi="楷体" w:eastAsia="楷体"/>
          <w:color w:val="000000"/>
          <w:sz w:val="24"/>
          <w:szCs w:val="24"/>
        </w:rPr>
        <w:t>完整、准确、</w:t>
      </w:r>
      <w:r>
        <w:rPr>
          <w:rFonts w:ascii="楷体" w:hAnsi="楷体" w:eastAsia="楷体"/>
          <w:color w:val="000000"/>
          <w:sz w:val="24"/>
          <w:szCs w:val="24"/>
        </w:rPr>
        <w:t>有效</w:t>
      </w:r>
      <w:r>
        <w:rPr>
          <w:rFonts w:hint="eastAsia" w:ascii="楷体" w:hAnsi="楷体" w:eastAsia="楷体"/>
          <w:color w:val="000000"/>
          <w:sz w:val="24"/>
          <w:szCs w:val="24"/>
        </w:rPr>
        <w:t>，签署过程合法合规，我公司就本补充协议生效日已通知全体基金份额持有人</w:t>
      </w:r>
      <w:r>
        <w:rPr>
          <w:rFonts w:ascii="楷体" w:hAnsi="楷体" w:eastAsia="楷体"/>
          <w:color w:val="000000"/>
          <w:sz w:val="24"/>
          <w:szCs w:val="24"/>
        </w:rPr>
        <w:t>。</w:t>
      </w:r>
      <w:r>
        <w:rPr>
          <w:rFonts w:hint="eastAsia" w:ascii="楷体" w:hAnsi="楷体" w:eastAsia="楷体"/>
          <w:color w:val="000000"/>
          <w:sz w:val="24"/>
          <w:szCs w:val="24"/>
        </w:rPr>
        <w:t>本补充协议的生效日为【】年【】月【】日。</w:t>
      </w:r>
    </w:p>
    <w:p w14:paraId="1D6184B8">
      <w:pPr>
        <w:spacing w:line="360" w:lineRule="auto"/>
        <w:ind w:firstLine="420"/>
        <w:rPr>
          <w:rFonts w:ascii="楷体" w:hAnsi="楷体" w:eastAsia="楷体"/>
          <w:color w:val="000000"/>
          <w:sz w:val="24"/>
          <w:szCs w:val="24"/>
        </w:rPr>
      </w:pPr>
      <w:r>
        <w:rPr>
          <w:rFonts w:hint="eastAsia" w:ascii="楷体" w:hAnsi="楷体" w:eastAsia="楷体"/>
          <w:color w:val="000000"/>
          <w:sz w:val="24"/>
          <w:szCs w:val="24"/>
        </w:rPr>
        <w:t>本补充协议以纸质方式签署的，由基金</w:t>
      </w:r>
      <w:r>
        <w:rPr>
          <w:rFonts w:ascii="楷体" w:hAnsi="楷体" w:eastAsia="楷体"/>
          <w:color w:val="000000"/>
          <w:sz w:val="24"/>
          <w:szCs w:val="24"/>
        </w:rPr>
        <w:t>托管人留存</w:t>
      </w:r>
      <w:r>
        <w:rPr>
          <w:rFonts w:hint="eastAsia" w:ascii="楷体" w:hAnsi="楷体" w:eastAsia="楷体"/>
          <w:color w:val="000000"/>
          <w:sz w:val="24"/>
          <w:szCs w:val="24"/>
        </w:rPr>
        <w:t>的各方签署完成的本补充协议原件一份</w:t>
      </w:r>
      <w:r>
        <w:rPr>
          <w:rFonts w:ascii="楷体" w:hAnsi="楷体" w:eastAsia="楷体"/>
          <w:color w:val="000000"/>
          <w:sz w:val="24"/>
          <w:szCs w:val="24"/>
        </w:rPr>
        <w:t>已寄往贵司</w:t>
      </w:r>
      <w:r>
        <w:rPr>
          <w:rFonts w:hint="eastAsia" w:ascii="楷体" w:hAnsi="楷体" w:eastAsia="楷体"/>
          <w:color w:val="000000"/>
          <w:sz w:val="24"/>
          <w:szCs w:val="24"/>
        </w:rPr>
        <w:t>,</w:t>
      </w:r>
      <w:r>
        <w:rPr>
          <w:rFonts w:ascii="楷体" w:hAnsi="楷体" w:eastAsia="楷体"/>
          <w:color w:val="000000"/>
          <w:sz w:val="24"/>
          <w:szCs w:val="24"/>
        </w:rPr>
        <w:t>快递</w:t>
      </w:r>
      <w:r>
        <w:rPr>
          <w:rFonts w:hint="eastAsia" w:ascii="楷体" w:hAnsi="楷体" w:eastAsia="楷体"/>
          <w:color w:val="000000"/>
          <w:sz w:val="24"/>
          <w:szCs w:val="24"/>
        </w:rPr>
        <w:t>公司为：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ascii="楷体" w:hAnsi="楷体" w:eastAsia="楷体"/>
          <w:color w:val="000000"/>
          <w:sz w:val="24"/>
          <w:szCs w:val="24"/>
          <w:u w:val="single"/>
        </w:rPr>
        <w:t xml:space="preserve">      </w:t>
      </w:r>
      <w:r>
        <w:rPr>
          <w:rFonts w:hint="eastAsia" w:ascii="楷体" w:hAnsi="楷体" w:eastAsia="楷体"/>
          <w:color w:val="000000"/>
          <w:sz w:val="24"/>
          <w:szCs w:val="24"/>
        </w:rPr>
        <w:t>，快递</w:t>
      </w:r>
      <w:r>
        <w:rPr>
          <w:rFonts w:ascii="楷体" w:hAnsi="楷体" w:eastAsia="楷体"/>
          <w:color w:val="000000"/>
          <w:sz w:val="24"/>
          <w:szCs w:val="24"/>
        </w:rPr>
        <w:t>单号为</w:t>
      </w:r>
      <w:r>
        <w:rPr>
          <w:rFonts w:ascii="楷体" w:hAnsi="楷体" w:eastAsia="楷体"/>
          <w:color w:val="000000"/>
          <w:sz w:val="24"/>
          <w:szCs w:val="24"/>
          <w:u w:val="single"/>
        </w:rPr>
        <w:t xml:space="preserve">                      </w:t>
      </w:r>
      <w:r>
        <w:rPr>
          <w:rFonts w:hint="eastAsia" w:ascii="楷体" w:hAnsi="楷体" w:eastAsia="楷体"/>
          <w:color w:val="000000"/>
          <w:sz w:val="24"/>
          <w:szCs w:val="24"/>
        </w:rPr>
        <w:t>；本补充协议以电子方式签署的，协议各方当事人均可于电子签署平台进行下载，电子签约平台为：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hint="eastAsia" w:ascii="楷体" w:hAnsi="楷体" w:eastAsia="楷体"/>
          <w:color w:val="000000"/>
          <w:sz w:val="24"/>
          <w:szCs w:val="24"/>
        </w:rPr>
        <w:t>。</w:t>
      </w:r>
    </w:p>
    <w:p w14:paraId="3D9A14A9">
      <w:pPr>
        <w:spacing w:line="360" w:lineRule="auto"/>
        <w:ind w:firstLine="420"/>
        <w:rPr>
          <w:rFonts w:ascii="楷体" w:hAnsi="楷体" w:eastAsia="楷体"/>
          <w:color w:val="000000"/>
          <w:sz w:val="24"/>
          <w:szCs w:val="24"/>
        </w:rPr>
      </w:pPr>
      <w:r>
        <w:rPr>
          <w:rFonts w:ascii="楷体" w:hAnsi="楷体" w:eastAsia="楷体"/>
          <w:color w:val="000000"/>
          <w:sz w:val="24"/>
          <w:szCs w:val="24"/>
        </w:rPr>
        <w:t>特此</w:t>
      </w:r>
      <w:r>
        <w:rPr>
          <w:rFonts w:hint="eastAsia" w:ascii="楷体" w:hAnsi="楷体" w:eastAsia="楷体"/>
          <w:color w:val="000000"/>
          <w:sz w:val="24"/>
          <w:szCs w:val="24"/>
        </w:rPr>
        <w:t>告知</w:t>
      </w:r>
      <w:r>
        <w:rPr>
          <w:rFonts w:ascii="楷体" w:hAnsi="楷体" w:eastAsia="楷体"/>
          <w:color w:val="000000"/>
          <w:sz w:val="24"/>
          <w:szCs w:val="24"/>
        </w:rPr>
        <w:t>！</w:t>
      </w:r>
    </w:p>
    <w:p w14:paraId="2FF8EF79">
      <w:pPr>
        <w:ind w:firstLine="420"/>
        <w:rPr>
          <w:rFonts w:ascii="楷体" w:hAnsi="楷体" w:eastAsia="楷体"/>
          <w:color w:val="000000"/>
          <w:sz w:val="28"/>
          <w:szCs w:val="28"/>
        </w:rPr>
      </w:pPr>
    </w:p>
    <w:p w14:paraId="6C380924">
      <w:pPr>
        <w:tabs>
          <w:tab w:val="left" w:pos="6096"/>
        </w:tabs>
        <w:spacing w:line="360" w:lineRule="auto"/>
        <w:jc w:val="right"/>
        <w:rPr>
          <w:rFonts w:ascii="楷体" w:hAnsi="楷体" w:eastAsia="楷体"/>
          <w:color w:val="000000"/>
          <w:sz w:val="24"/>
        </w:rPr>
      </w:pPr>
      <w:r>
        <w:rPr>
          <w:rFonts w:hint="eastAsia" w:ascii="楷体" w:hAnsi="楷体" w:eastAsia="楷体"/>
          <w:color w:val="000000"/>
          <w:sz w:val="24"/>
        </w:rPr>
        <w:t>管理人：【      】（公章）</w:t>
      </w:r>
    </w:p>
    <w:p w14:paraId="23A4EE4E">
      <w:pPr>
        <w:ind w:right="120"/>
        <w:jc w:val="right"/>
        <w:rPr>
          <w:rFonts w:ascii="楷体" w:hAnsi="楷体" w:eastAsia="楷体"/>
          <w:color w:val="000000"/>
        </w:rPr>
      </w:pP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日期：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4E1076C6">
      <w:pPr>
        <w:rPr>
          <w:rFonts w:ascii="楷体" w:hAnsi="楷体" w:eastAsia="楷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5F50"/>
    <w:multiLevelType w:val="multilevel"/>
    <w:tmpl w:val="4A3E5F50"/>
    <w:lvl w:ilvl="0" w:tentative="0">
      <w:start w:val="1"/>
      <w:numFmt w:val="japaneseCounting"/>
      <w:pStyle w:val="76"/>
      <w:lvlText w:val="（%1）"/>
      <w:lvlJc w:val="left"/>
      <w:pPr>
        <w:tabs>
          <w:tab w:val="left" w:pos="900"/>
        </w:tabs>
        <w:ind w:left="90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6FE147B6"/>
    <w:multiLevelType w:val="singleLevel"/>
    <w:tmpl w:val="6FE147B6"/>
    <w:lvl w:ilvl="0" w:tentative="0">
      <w:start w:val="1"/>
      <w:numFmt w:val="decimal"/>
      <w:pStyle w:val="78"/>
      <w:lvlText w:val="(%1)"/>
      <w:lvlJc w:val="left"/>
      <w:pPr>
        <w:tabs>
          <w:tab w:val="left" w:pos="360"/>
        </w:tabs>
        <w:ind w:left="0" w:firstLine="0"/>
      </w:pPr>
      <w:rPr>
        <w:rFonts w:hint="eastAsia"/>
      </w:rPr>
    </w:lvl>
  </w:abstractNum>
  <w:abstractNum w:abstractNumId="2">
    <w:nsid w:val="79CF4513"/>
    <w:multiLevelType w:val="multilevel"/>
    <w:tmpl w:val="79CF4513"/>
    <w:lvl w:ilvl="0" w:tentative="0">
      <w:start w:val="1"/>
      <w:numFmt w:val="japaneseCounting"/>
      <w:pStyle w:val="85"/>
      <w:lvlText w:val="（%1）"/>
      <w:lvlJc w:val="left"/>
      <w:pPr>
        <w:tabs>
          <w:tab w:val="left" w:pos="900"/>
        </w:tabs>
        <w:ind w:left="90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D8"/>
    <w:rsid w:val="00050FCB"/>
    <w:rsid w:val="00073D65"/>
    <w:rsid w:val="0008723C"/>
    <w:rsid w:val="000E4CDD"/>
    <w:rsid w:val="001B1DB0"/>
    <w:rsid w:val="00210A37"/>
    <w:rsid w:val="0028527D"/>
    <w:rsid w:val="002B2FBE"/>
    <w:rsid w:val="003105B3"/>
    <w:rsid w:val="00311089"/>
    <w:rsid w:val="003405A4"/>
    <w:rsid w:val="00351684"/>
    <w:rsid w:val="0039369F"/>
    <w:rsid w:val="004656CD"/>
    <w:rsid w:val="004A09BD"/>
    <w:rsid w:val="004A12D5"/>
    <w:rsid w:val="004E63DA"/>
    <w:rsid w:val="005011D9"/>
    <w:rsid w:val="0051043F"/>
    <w:rsid w:val="0051659C"/>
    <w:rsid w:val="00517AD9"/>
    <w:rsid w:val="00531223"/>
    <w:rsid w:val="00566947"/>
    <w:rsid w:val="00576D3C"/>
    <w:rsid w:val="00603AB6"/>
    <w:rsid w:val="006178A4"/>
    <w:rsid w:val="00664850"/>
    <w:rsid w:val="006850B2"/>
    <w:rsid w:val="0072194A"/>
    <w:rsid w:val="007561F7"/>
    <w:rsid w:val="00756C3F"/>
    <w:rsid w:val="00762661"/>
    <w:rsid w:val="00772642"/>
    <w:rsid w:val="00777E68"/>
    <w:rsid w:val="00777EA0"/>
    <w:rsid w:val="00787936"/>
    <w:rsid w:val="007F12D8"/>
    <w:rsid w:val="008408AC"/>
    <w:rsid w:val="008F6518"/>
    <w:rsid w:val="00900DCD"/>
    <w:rsid w:val="00904972"/>
    <w:rsid w:val="00944058"/>
    <w:rsid w:val="00953A7C"/>
    <w:rsid w:val="0095650C"/>
    <w:rsid w:val="00973983"/>
    <w:rsid w:val="00974958"/>
    <w:rsid w:val="009775F8"/>
    <w:rsid w:val="009C7EB4"/>
    <w:rsid w:val="00A17825"/>
    <w:rsid w:val="00A23025"/>
    <w:rsid w:val="00A3497B"/>
    <w:rsid w:val="00A80D47"/>
    <w:rsid w:val="00AA4DBD"/>
    <w:rsid w:val="00AA7FD0"/>
    <w:rsid w:val="00AD7D1D"/>
    <w:rsid w:val="00B0599C"/>
    <w:rsid w:val="00B237AC"/>
    <w:rsid w:val="00B67C7C"/>
    <w:rsid w:val="00B93D84"/>
    <w:rsid w:val="00BD6C48"/>
    <w:rsid w:val="00BF4DF5"/>
    <w:rsid w:val="00C00860"/>
    <w:rsid w:val="00C66C25"/>
    <w:rsid w:val="00C9795A"/>
    <w:rsid w:val="00CC3B13"/>
    <w:rsid w:val="00CD7B55"/>
    <w:rsid w:val="00CE6713"/>
    <w:rsid w:val="00D12ABE"/>
    <w:rsid w:val="00DC3A6D"/>
    <w:rsid w:val="00DE15EA"/>
    <w:rsid w:val="00EA3955"/>
    <w:rsid w:val="00EB1EE6"/>
    <w:rsid w:val="00ED2260"/>
    <w:rsid w:val="00EF55E8"/>
    <w:rsid w:val="00F93B7A"/>
    <w:rsid w:val="00FD4476"/>
    <w:rsid w:val="0FA90668"/>
    <w:rsid w:val="1296727F"/>
    <w:rsid w:val="157812ED"/>
    <w:rsid w:val="183016FC"/>
    <w:rsid w:val="1C575B66"/>
    <w:rsid w:val="1DDF7598"/>
    <w:rsid w:val="1EDA3A72"/>
    <w:rsid w:val="1EFD0FBB"/>
    <w:rsid w:val="26292CBC"/>
    <w:rsid w:val="43EC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line="360" w:lineRule="auto"/>
      <w:outlineLvl w:val="3"/>
    </w:pPr>
    <w:rPr>
      <w:rFonts w:ascii="Arial" w:hAnsi="Arial" w:eastAsia="宋体" w:cs="Times New Roman"/>
      <w:szCs w:val="20"/>
    </w:rPr>
  </w:style>
  <w:style w:type="paragraph" w:styleId="6">
    <w:name w:val="heading 5"/>
    <w:basedOn w:val="1"/>
    <w:next w:val="1"/>
    <w:link w:val="43"/>
    <w:qFormat/>
    <w:uiPriority w:val="0"/>
    <w:pPr>
      <w:keepNext/>
      <w:keepLines/>
      <w:adjustRightInd w:val="0"/>
      <w:snapToGrid w:val="0"/>
      <w:spacing w:line="360" w:lineRule="auto"/>
      <w:outlineLvl w:val="4"/>
    </w:pPr>
    <w:rPr>
      <w:rFonts w:ascii="Times New Roman" w:hAnsi="Times New Roman" w:eastAsia="宋体" w:cs="Times New Roman"/>
      <w:szCs w:val="20"/>
    </w:rPr>
  </w:style>
  <w:style w:type="paragraph" w:styleId="7">
    <w:name w:val="heading 6"/>
    <w:basedOn w:val="1"/>
    <w:next w:val="1"/>
    <w:link w:val="44"/>
    <w:qFormat/>
    <w:uiPriority w:val="0"/>
    <w:pPr>
      <w:keepNext/>
      <w:keepLines/>
      <w:spacing w:before="240" w:after="64" w:line="320" w:lineRule="auto"/>
      <w:outlineLvl w:val="5"/>
    </w:pPr>
    <w:rPr>
      <w:rFonts w:ascii="Arial" w:hAnsi="Arial" w:eastAsia="黑体" w:cs="Times New Roman"/>
      <w:b/>
      <w:sz w:val="24"/>
      <w:szCs w:val="20"/>
    </w:rPr>
  </w:style>
  <w:style w:type="paragraph" w:styleId="8">
    <w:name w:val="heading 7"/>
    <w:basedOn w:val="1"/>
    <w:next w:val="1"/>
    <w:link w:val="4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9">
    <w:name w:val="heading 8"/>
    <w:basedOn w:val="1"/>
    <w:next w:val="1"/>
    <w:link w:val="46"/>
    <w:qFormat/>
    <w:uiPriority w:val="0"/>
    <w:pPr>
      <w:keepNext/>
      <w:keepLines/>
      <w:spacing w:before="240" w:after="64" w:line="320" w:lineRule="auto"/>
      <w:outlineLvl w:val="7"/>
    </w:pPr>
    <w:rPr>
      <w:rFonts w:ascii="Arial" w:hAnsi="Arial" w:eastAsia="黑体" w:cs="Times New Roman"/>
      <w:sz w:val="24"/>
      <w:szCs w:val="20"/>
    </w:rPr>
  </w:style>
  <w:style w:type="paragraph" w:styleId="10">
    <w:name w:val="heading 9"/>
    <w:basedOn w:val="1"/>
    <w:next w:val="1"/>
    <w:link w:val="47"/>
    <w:qFormat/>
    <w:uiPriority w:val="0"/>
    <w:pPr>
      <w:keepNext/>
      <w:keepLines/>
      <w:spacing w:before="240" w:after="64" w:line="320" w:lineRule="auto"/>
      <w:outlineLvl w:val="8"/>
    </w:pPr>
    <w:rPr>
      <w:rFonts w:ascii="Arial" w:hAnsi="Arial" w:eastAsia="黑体" w:cs="Times New Roman"/>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eastAsia="宋体" w:cs="Times New Roman"/>
      <w:szCs w:val="24"/>
    </w:rPr>
  </w:style>
  <w:style w:type="paragraph" w:styleId="12">
    <w:name w:val="Document Map"/>
    <w:basedOn w:val="1"/>
    <w:link w:val="56"/>
    <w:qFormat/>
    <w:uiPriority w:val="0"/>
    <w:rPr>
      <w:rFonts w:ascii="宋体"/>
      <w:sz w:val="18"/>
      <w:szCs w:val="18"/>
    </w:rPr>
  </w:style>
  <w:style w:type="paragraph" w:styleId="13">
    <w:name w:val="annotation text"/>
    <w:basedOn w:val="1"/>
    <w:link w:val="48"/>
    <w:unhideWhenUsed/>
    <w:qFormat/>
    <w:uiPriority w:val="99"/>
    <w:pPr>
      <w:jc w:val="left"/>
    </w:pPr>
    <w:rPr>
      <w:rFonts w:ascii="Calibri" w:hAnsi="Calibri" w:eastAsia="宋体" w:cs="Times New Roman"/>
    </w:rPr>
  </w:style>
  <w:style w:type="paragraph" w:styleId="14">
    <w:name w:val="Body Text"/>
    <w:basedOn w:val="1"/>
    <w:link w:val="57"/>
    <w:qFormat/>
    <w:uiPriority w:val="0"/>
    <w:pPr>
      <w:snapToGrid w:val="0"/>
      <w:spacing w:line="360" w:lineRule="auto"/>
    </w:pPr>
    <w:rPr>
      <w:rFonts w:ascii="Times New Roman" w:hAnsi="Times New Roman" w:eastAsia="宋体" w:cs="Times New Roman"/>
      <w:sz w:val="24"/>
      <w:szCs w:val="20"/>
    </w:rPr>
  </w:style>
  <w:style w:type="paragraph" w:styleId="15">
    <w:name w:val="Body Text Indent"/>
    <w:basedOn w:val="1"/>
    <w:link w:val="58"/>
    <w:qFormat/>
    <w:uiPriority w:val="0"/>
    <w:pPr>
      <w:tabs>
        <w:tab w:val="left" w:pos="0"/>
      </w:tabs>
      <w:autoSpaceDE w:val="0"/>
      <w:autoSpaceDN w:val="0"/>
      <w:adjustRightInd w:val="0"/>
      <w:spacing w:line="400" w:lineRule="exact"/>
      <w:ind w:left="683" w:leftChars="325"/>
    </w:pPr>
    <w:rPr>
      <w:rFonts w:ascii="宋体" w:hAnsi="宋体" w:eastAsia="宋体" w:cs="Times New Roman"/>
      <w:szCs w:val="24"/>
    </w:rPr>
  </w:style>
  <w:style w:type="paragraph" w:styleId="1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7">
    <w:name w:val="Plain Text"/>
    <w:basedOn w:val="1"/>
    <w:link w:val="59"/>
    <w:qFormat/>
    <w:uiPriority w:val="0"/>
    <w:rPr>
      <w:rFonts w:ascii="宋体" w:hAnsi="Courier New"/>
    </w:rPr>
  </w:style>
  <w:style w:type="paragraph" w:styleId="18">
    <w:name w:val="Body Text Indent 2"/>
    <w:basedOn w:val="1"/>
    <w:link w:val="60"/>
    <w:qFormat/>
    <w:uiPriority w:val="0"/>
    <w:pPr>
      <w:spacing w:line="400" w:lineRule="exact"/>
      <w:ind w:firstLine="420" w:firstLineChars="200"/>
    </w:pPr>
    <w:rPr>
      <w:rFonts w:ascii="宋体" w:hAnsi="宋体" w:eastAsia="宋体" w:cs="Times New Roman"/>
      <w:color w:val="000000"/>
      <w:szCs w:val="24"/>
    </w:rPr>
  </w:style>
  <w:style w:type="paragraph" w:styleId="19">
    <w:name w:val="Balloon Text"/>
    <w:basedOn w:val="1"/>
    <w:link w:val="49"/>
    <w:qFormat/>
    <w:uiPriority w:val="0"/>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Subtitle"/>
    <w:basedOn w:val="1"/>
    <w:next w:val="1"/>
    <w:link w:val="5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Body Text Indent 3"/>
    <w:basedOn w:val="1"/>
    <w:link w:val="61"/>
    <w:qFormat/>
    <w:uiPriority w:val="0"/>
    <w:pPr>
      <w:spacing w:after="120"/>
      <w:ind w:left="420" w:leftChars="200"/>
    </w:pPr>
    <w:rPr>
      <w:rFonts w:ascii="Times New Roman" w:hAnsi="Times New Roman" w:eastAsia="宋体" w:cs="Times New Roman"/>
      <w:sz w:val="16"/>
      <w:szCs w:val="16"/>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6">
    <w:name w:val="HTML Preformatted"/>
    <w:basedOn w:val="1"/>
    <w:link w:val="6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pPr>
      <w:widowControl/>
      <w:jc w:val="left"/>
    </w:pPr>
    <w:rPr>
      <w:rFonts w:hint="eastAsia" w:ascii="宋体" w:hAnsi="宋体" w:eastAsia="宋体" w:cs="Times New Roman"/>
      <w:kern w:val="0"/>
      <w:sz w:val="24"/>
      <w:szCs w:val="24"/>
    </w:rPr>
  </w:style>
  <w:style w:type="paragraph" w:styleId="28">
    <w:name w:val="Title"/>
    <w:basedOn w:val="1"/>
    <w:next w:val="1"/>
    <w:link w:val="53"/>
    <w:qFormat/>
    <w:uiPriority w:val="0"/>
    <w:pPr>
      <w:spacing w:before="240" w:after="60"/>
      <w:jc w:val="center"/>
      <w:outlineLvl w:val="0"/>
    </w:pPr>
    <w:rPr>
      <w:rFonts w:eastAsia="宋体" w:asciiTheme="majorHAnsi" w:hAnsiTheme="majorHAnsi" w:cstheme="majorBidi"/>
      <w:b/>
      <w:bCs/>
      <w:sz w:val="32"/>
      <w:szCs w:val="32"/>
    </w:rPr>
  </w:style>
  <w:style w:type="paragraph" w:styleId="29">
    <w:name w:val="annotation subject"/>
    <w:basedOn w:val="13"/>
    <w:next w:val="13"/>
    <w:link w:val="54"/>
    <w:qFormat/>
    <w:uiPriority w:val="0"/>
    <w:rPr>
      <w:rFonts w:asciiTheme="minorHAnsi" w:hAnsiTheme="minorHAnsi" w:eastAsiaTheme="minorEastAsia" w:cstheme="minorBidi"/>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Emphasis"/>
    <w:basedOn w:val="32"/>
    <w:qFormat/>
    <w:uiPriority w:val="20"/>
    <w:rPr>
      <w:color w:val="CC0000"/>
    </w:rPr>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basedOn w:val="32"/>
    <w:link w:val="2"/>
    <w:qFormat/>
    <w:uiPriority w:val="0"/>
    <w:rPr>
      <w:b/>
      <w:bCs/>
      <w:kern w:val="44"/>
      <w:sz w:val="44"/>
      <w:szCs w:val="44"/>
    </w:rPr>
  </w:style>
  <w:style w:type="character" w:customStyle="1" w:styleId="40">
    <w:name w:val="标题 2 Char"/>
    <w:basedOn w:val="32"/>
    <w:link w:val="3"/>
    <w:qFormat/>
    <w:uiPriority w:val="0"/>
    <w:rPr>
      <w:rFonts w:asciiTheme="majorHAnsi" w:hAnsiTheme="majorHAnsi" w:eastAsiaTheme="majorEastAsia" w:cstheme="majorBidi"/>
      <w:b/>
      <w:bCs/>
      <w:sz w:val="32"/>
      <w:szCs w:val="32"/>
    </w:rPr>
  </w:style>
  <w:style w:type="character" w:customStyle="1" w:styleId="41">
    <w:name w:val="标题 3 Char"/>
    <w:basedOn w:val="32"/>
    <w:link w:val="4"/>
    <w:qFormat/>
    <w:uiPriority w:val="0"/>
    <w:rPr>
      <w:b/>
      <w:bCs/>
      <w:sz w:val="32"/>
      <w:szCs w:val="32"/>
    </w:rPr>
  </w:style>
  <w:style w:type="character" w:customStyle="1" w:styleId="42">
    <w:name w:val="标题 4 Char"/>
    <w:basedOn w:val="32"/>
    <w:link w:val="5"/>
    <w:qFormat/>
    <w:uiPriority w:val="0"/>
    <w:rPr>
      <w:rFonts w:ascii="Arial" w:hAnsi="Arial" w:eastAsia="宋体" w:cs="Times New Roman"/>
      <w:szCs w:val="20"/>
    </w:rPr>
  </w:style>
  <w:style w:type="character" w:customStyle="1" w:styleId="43">
    <w:name w:val="标题 5 Char"/>
    <w:basedOn w:val="32"/>
    <w:link w:val="6"/>
    <w:qFormat/>
    <w:uiPriority w:val="0"/>
    <w:rPr>
      <w:rFonts w:ascii="Times New Roman" w:hAnsi="Times New Roman" w:eastAsia="宋体" w:cs="Times New Roman"/>
      <w:szCs w:val="20"/>
    </w:rPr>
  </w:style>
  <w:style w:type="character" w:customStyle="1" w:styleId="44">
    <w:name w:val="标题 6 Char"/>
    <w:basedOn w:val="32"/>
    <w:link w:val="7"/>
    <w:qFormat/>
    <w:uiPriority w:val="0"/>
    <w:rPr>
      <w:rFonts w:ascii="Arial" w:hAnsi="Arial" w:eastAsia="黑体" w:cs="Times New Roman"/>
      <w:b/>
      <w:sz w:val="24"/>
      <w:szCs w:val="20"/>
    </w:rPr>
  </w:style>
  <w:style w:type="character" w:customStyle="1" w:styleId="45">
    <w:name w:val="标题 7 Char"/>
    <w:basedOn w:val="32"/>
    <w:link w:val="8"/>
    <w:qFormat/>
    <w:uiPriority w:val="0"/>
    <w:rPr>
      <w:rFonts w:ascii="Times New Roman" w:hAnsi="Times New Roman" w:eastAsia="宋体" w:cs="Times New Roman"/>
      <w:b/>
      <w:sz w:val="24"/>
      <w:szCs w:val="20"/>
    </w:rPr>
  </w:style>
  <w:style w:type="character" w:customStyle="1" w:styleId="46">
    <w:name w:val="标题 8 Char"/>
    <w:basedOn w:val="32"/>
    <w:link w:val="9"/>
    <w:qFormat/>
    <w:uiPriority w:val="0"/>
    <w:rPr>
      <w:rFonts w:ascii="Arial" w:hAnsi="Arial" w:eastAsia="黑体" w:cs="Times New Roman"/>
      <w:sz w:val="24"/>
      <w:szCs w:val="20"/>
    </w:rPr>
  </w:style>
  <w:style w:type="character" w:customStyle="1" w:styleId="47">
    <w:name w:val="标题 9 Char"/>
    <w:basedOn w:val="32"/>
    <w:link w:val="10"/>
    <w:qFormat/>
    <w:uiPriority w:val="0"/>
    <w:rPr>
      <w:rFonts w:ascii="Arial" w:hAnsi="Arial" w:eastAsia="黑体" w:cs="Times New Roman"/>
      <w:szCs w:val="20"/>
    </w:rPr>
  </w:style>
  <w:style w:type="character" w:customStyle="1" w:styleId="48">
    <w:name w:val="批注文字 Char"/>
    <w:basedOn w:val="32"/>
    <w:link w:val="13"/>
    <w:qFormat/>
    <w:uiPriority w:val="99"/>
    <w:rPr>
      <w:rFonts w:ascii="Calibri" w:hAnsi="Calibri" w:eastAsia="宋体" w:cs="Times New Roman"/>
    </w:rPr>
  </w:style>
  <w:style w:type="character" w:customStyle="1" w:styleId="49">
    <w:name w:val="批注框文本 Char"/>
    <w:basedOn w:val="32"/>
    <w:link w:val="19"/>
    <w:qFormat/>
    <w:uiPriority w:val="0"/>
    <w:rPr>
      <w:sz w:val="18"/>
      <w:szCs w:val="18"/>
    </w:rPr>
  </w:style>
  <w:style w:type="character" w:customStyle="1" w:styleId="50">
    <w:name w:val="页脚 Char"/>
    <w:basedOn w:val="32"/>
    <w:link w:val="20"/>
    <w:qFormat/>
    <w:uiPriority w:val="99"/>
    <w:rPr>
      <w:sz w:val="18"/>
      <w:szCs w:val="18"/>
    </w:rPr>
  </w:style>
  <w:style w:type="character" w:customStyle="1" w:styleId="51">
    <w:name w:val="页眉 Char"/>
    <w:basedOn w:val="32"/>
    <w:link w:val="21"/>
    <w:qFormat/>
    <w:uiPriority w:val="99"/>
    <w:rPr>
      <w:sz w:val="18"/>
      <w:szCs w:val="18"/>
    </w:rPr>
  </w:style>
  <w:style w:type="character" w:customStyle="1" w:styleId="52">
    <w:name w:val="副标题 Char"/>
    <w:basedOn w:val="32"/>
    <w:link w:val="23"/>
    <w:qFormat/>
    <w:uiPriority w:val="0"/>
    <w:rPr>
      <w:rFonts w:eastAsia="宋体" w:asciiTheme="majorHAnsi" w:hAnsiTheme="majorHAnsi" w:cstheme="majorBidi"/>
      <w:b/>
      <w:bCs/>
      <w:kern w:val="28"/>
      <w:sz w:val="32"/>
      <w:szCs w:val="32"/>
    </w:rPr>
  </w:style>
  <w:style w:type="character" w:customStyle="1" w:styleId="53">
    <w:name w:val="标题 Char"/>
    <w:basedOn w:val="32"/>
    <w:link w:val="28"/>
    <w:qFormat/>
    <w:uiPriority w:val="0"/>
    <w:rPr>
      <w:rFonts w:eastAsia="宋体" w:asciiTheme="majorHAnsi" w:hAnsiTheme="majorHAnsi" w:cstheme="majorBidi"/>
      <w:b/>
      <w:bCs/>
      <w:sz w:val="32"/>
      <w:szCs w:val="32"/>
    </w:rPr>
  </w:style>
  <w:style w:type="character" w:customStyle="1" w:styleId="54">
    <w:name w:val="批注主题 Char"/>
    <w:basedOn w:val="48"/>
    <w:link w:val="29"/>
    <w:qFormat/>
    <w:uiPriority w:val="0"/>
    <w:rPr>
      <w:rFonts w:ascii="Calibri" w:hAnsi="Calibri" w:eastAsia="宋体" w:cs="Times New Roman"/>
      <w:b/>
      <w:bCs/>
    </w:rPr>
  </w:style>
  <w:style w:type="paragraph" w:styleId="55">
    <w:name w:val="List Paragraph"/>
    <w:basedOn w:val="1"/>
    <w:qFormat/>
    <w:uiPriority w:val="34"/>
    <w:pPr>
      <w:ind w:firstLine="420" w:firstLineChars="200"/>
    </w:pPr>
  </w:style>
  <w:style w:type="character" w:customStyle="1" w:styleId="56">
    <w:name w:val="文档结构图 Char"/>
    <w:basedOn w:val="32"/>
    <w:link w:val="12"/>
    <w:qFormat/>
    <w:uiPriority w:val="0"/>
    <w:rPr>
      <w:rFonts w:ascii="宋体"/>
      <w:sz w:val="18"/>
      <w:szCs w:val="18"/>
    </w:rPr>
  </w:style>
  <w:style w:type="character" w:customStyle="1" w:styleId="57">
    <w:name w:val="正文文本 Char"/>
    <w:basedOn w:val="32"/>
    <w:link w:val="14"/>
    <w:qFormat/>
    <w:uiPriority w:val="0"/>
    <w:rPr>
      <w:rFonts w:ascii="Times New Roman" w:hAnsi="Times New Roman" w:eastAsia="宋体" w:cs="Times New Roman"/>
      <w:sz w:val="24"/>
      <w:szCs w:val="20"/>
    </w:rPr>
  </w:style>
  <w:style w:type="character" w:customStyle="1" w:styleId="58">
    <w:name w:val="正文文本缩进 Char"/>
    <w:basedOn w:val="32"/>
    <w:link w:val="15"/>
    <w:qFormat/>
    <w:uiPriority w:val="0"/>
    <w:rPr>
      <w:rFonts w:ascii="宋体" w:hAnsi="宋体" w:eastAsia="宋体" w:cs="Times New Roman"/>
      <w:szCs w:val="24"/>
    </w:rPr>
  </w:style>
  <w:style w:type="character" w:customStyle="1" w:styleId="59">
    <w:name w:val="纯文本 Char"/>
    <w:basedOn w:val="32"/>
    <w:link w:val="17"/>
    <w:qFormat/>
    <w:uiPriority w:val="0"/>
    <w:rPr>
      <w:rFonts w:ascii="宋体" w:hAnsi="Courier New"/>
    </w:rPr>
  </w:style>
  <w:style w:type="character" w:customStyle="1" w:styleId="60">
    <w:name w:val="正文文本缩进 2 Char"/>
    <w:basedOn w:val="32"/>
    <w:link w:val="18"/>
    <w:qFormat/>
    <w:uiPriority w:val="0"/>
    <w:rPr>
      <w:rFonts w:ascii="宋体" w:hAnsi="宋体" w:eastAsia="宋体" w:cs="Times New Roman"/>
      <w:color w:val="000000"/>
      <w:szCs w:val="24"/>
    </w:rPr>
  </w:style>
  <w:style w:type="character" w:customStyle="1" w:styleId="61">
    <w:name w:val="正文文本缩进 3 Char"/>
    <w:basedOn w:val="32"/>
    <w:link w:val="24"/>
    <w:qFormat/>
    <w:uiPriority w:val="0"/>
    <w:rPr>
      <w:rFonts w:ascii="Times New Roman" w:hAnsi="Times New Roman" w:eastAsia="宋体" w:cs="Times New Roman"/>
      <w:sz w:val="16"/>
      <w:szCs w:val="16"/>
    </w:rPr>
  </w:style>
  <w:style w:type="character" w:customStyle="1" w:styleId="62">
    <w:name w:val="HTML 预设格式 Char"/>
    <w:basedOn w:val="32"/>
    <w:link w:val="26"/>
    <w:qFormat/>
    <w:uiPriority w:val="99"/>
    <w:rPr>
      <w:rFonts w:ascii="宋体" w:hAnsi="宋体" w:eastAsia="宋体" w:cs="宋体"/>
      <w:kern w:val="0"/>
      <w:sz w:val="24"/>
      <w:szCs w:val="24"/>
    </w:rPr>
  </w:style>
  <w:style w:type="character" w:customStyle="1" w:styleId="63">
    <w:name w:val="read"/>
    <w:qFormat/>
    <w:uiPriority w:val="0"/>
  </w:style>
  <w:style w:type="character" w:customStyle="1" w:styleId="64">
    <w:name w:val="read1"/>
    <w:qFormat/>
    <w:uiPriority w:val="0"/>
    <w:rPr>
      <w:rFonts w:hint="eastAsia" w:ascii="宋体" w:hAnsi="宋体" w:eastAsia="宋体"/>
      <w:color w:val="000000"/>
      <w:u w:val="none"/>
    </w:rPr>
  </w:style>
  <w:style w:type="character" w:customStyle="1" w:styleId="65">
    <w:name w:val="tt11"/>
    <w:qFormat/>
    <w:uiPriority w:val="0"/>
    <w:rPr>
      <w:sz w:val="22"/>
      <w:szCs w:val="22"/>
    </w:rPr>
  </w:style>
  <w:style w:type="character" w:customStyle="1" w:styleId="66">
    <w:name w:val="MTDisplayEquation Char"/>
    <w:link w:val="67"/>
    <w:qFormat/>
    <w:uiPriority w:val="0"/>
    <w:rPr>
      <w:rFonts w:ascii="宋体" w:hAnsi="宋体"/>
      <w:b/>
      <w:position w:val="-12"/>
      <w:sz w:val="28"/>
      <w:szCs w:val="28"/>
    </w:rPr>
  </w:style>
  <w:style w:type="paragraph" w:customStyle="1" w:styleId="67">
    <w:name w:val="MTDisplayEquation"/>
    <w:basedOn w:val="1"/>
    <w:next w:val="1"/>
    <w:link w:val="66"/>
    <w:qFormat/>
    <w:uiPriority w:val="0"/>
    <w:pPr>
      <w:tabs>
        <w:tab w:val="center" w:pos="4160"/>
        <w:tab w:val="right" w:pos="8300"/>
      </w:tabs>
      <w:spacing w:line="360" w:lineRule="auto"/>
      <w:ind w:firstLine="562" w:firstLineChars="200"/>
    </w:pPr>
    <w:rPr>
      <w:rFonts w:ascii="宋体" w:hAnsi="宋体"/>
      <w:b/>
      <w:position w:val="-12"/>
      <w:sz w:val="28"/>
      <w:szCs w:val="28"/>
    </w:rPr>
  </w:style>
  <w:style w:type="character" w:customStyle="1" w:styleId="68">
    <w:name w:val="文档结构图 Char1"/>
    <w:basedOn w:val="32"/>
    <w:semiHidden/>
    <w:qFormat/>
    <w:uiPriority w:val="99"/>
    <w:rPr>
      <w:rFonts w:ascii="宋体" w:eastAsia="宋体"/>
      <w:sz w:val="18"/>
      <w:szCs w:val="18"/>
    </w:rPr>
  </w:style>
  <w:style w:type="character" w:customStyle="1" w:styleId="69">
    <w:name w:val="批注文字 Char1"/>
    <w:basedOn w:val="32"/>
    <w:qFormat/>
    <w:uiPriority w:val="99"/>
    <w:rPr>
      <w:rFonts w:ascii="Calibri" w:hAnsi="Calibri" w:eastAsia="宋体" w:cs="Times New Roman"/>
    </w:rPr>
  </w:style>
  <w:style w:type="paragraph" w:customStyle="1" w:styleId="70">
    <w:name w:val="正文１"/>
    <w:basedOn w:val="24"/>
    <w:qFormat/>
    <w:uiPriority w:val="0"/>
    <w:pPr>
      <w:widowControl/>
      <w:adjustRightInd w:val="0"/>
      <w:snapToGrid w:val="0"/>
      <w:spacing w:after="0" w:line="360" w:lineRule="auto"/>
      <w:ind w:left="0" w:leftChars="0" w:firstLine="200" w:firstLineChars="200"/>
    </w:pPr>
    <w:rPr>
      <w:rFonts w:ascii="Arial Narrow" w:hAnsi="Arial Narrow" w:eastAsia="仿宋_GB2312"/>
      <w:color w:val="000000"/>
      <w:kern w:val="0"/>
      <w:sz w:val="24"/>
      <w:szCs w:val="24"/>
    </w:rPr>
  </w:style>
  <w:style w:type="paragraph" w:customStyle="1" w:styleId="71">
    <w:name w:val="1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2">
    <w:name w:val="Char Char Char Char"/>
    <w:basedOn w:val="1"/>
    <w:qFormat/>
    <w:uiPriority w:val="0"/>
    <w:pPr>
      <w:tabs>
        <w:tab w:val="left" w:pos="360"/>
      </w:tabs>
    </w:pPr>
    <w:rPr>
      <w:rFonts w:ascii="Times New Roman" w:hAnsi="Times New Roman" w:eastAsia="宋体" w:cs="Times New Roman"/>
      <w:sz w:val="24"/>
      <w:szCs w:val="24"/>
    </w:rPr>
  </w:style>
  <w:style w:type="character" w:customStyle="1" w:styleId="73">
    <w:name w:val="纯文本 Char1"/>
    <w:basedOn w:val="32"/>
    <w:semiHidden/>
    <w:qFormat/>
    <w:uiPriority w:val="99"/>
    <w:rPr>
      <w:rFonts w:ascii="宋体" w:hAnsi="Courier New" w:eastAsia="宋体" w:cs="Courier New"/>
      <w:szCs w:val="21"/>
    </w:rPr>
  </w:style>
  <w:style w:type="paragraph" w:customStyle="1" w:styleId="74">
    <w:name w:val="默认段落字体 Para Char Char Char Char Char Char"/>
    <w:basedOn w:val="1"/>
    <w:qFormat/>
    <w:uiPriority w:val="0"/>
    <w:pPr>
      <w:tabs>
        <w:tab w:val="left" w:pos="840"/>
      </w:tabs>
      <w:ind w:left="840" w:hanging="360"/>
    </w:pPr>
    <w:rPr>
      <w:rFonts w:ascii="Times New Roman" w:hAnsi="Times New Roman" w:eastAsia="宋体" w:cs="Times New Roman"/>
      <w:sz w:val="24"/>
      <w:szCs w:val="24"/>
    </w:rPr>
  </w:style>
  <w:style w:type="paragraph" w:customStyle="1" w:styleId="75">
    <w:name w:val="Char"/>
    <w:basedOn w:val="1"/>
    <w:qFormat/>
    <w:uiPriority w:val="0"/>
    <w:rPr>
      <w:rFonts w:ascii="Times New Roman" w:hAnsi="Times New Roman" w:eastAsia="宋体" w:cs="Times New Roman"/>
      <w:szCs w:val="24"/>
    </w:rPr>
  </w:style>
  <w:style w:type="paragraph" w:customStyle="1" w:styleId="76">
    <w:name w:val="样式2"/>
    <w:basedOn w:val="1"/>
    <w:qFormat/>
    <w:uiPriority w:val="0"/>
    <w:pPr>
      <w:widowControl/>
      <w:numPr>
        <w:ilvl w:val="0"/>
        <w:numId w:val="1"/>
      </w:numPr>
      <w:spacing w:line="360" w:lineRule="auto"/>
      <w:jc w:val="left"/>
    </w:pPr>
    <w:rPr>
      <w:rFonts w:ascii="宋体" w:hAnsi="宋体" w:eastAsia="宋体" w:cs="Times New Roman"/>
      <w:kern w:val="0"/>
      <w:sz w:val="24"/>
      <w:szCs w:val="24"/>
    </w:rPr>
  </w:style>
  <w:style w:type="paragraph" w:customStyle="1" w:styleId="77">
    <w:name w:val="字元 字元 Char Char Char Char"/>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78">
    <w:name w:val="列表2"/>
    <w:basedOn w:val="1"/>
    <w:next w:val="28"/>
    <w:qFormat/>
    <w:uiPriority w:val="0"/>
    <w:pPr>
      <w:numPr>
        <w:ilvl w:val="0"/>
        <w:numId w:val="2"/>
      </w:numPr>
      <w:spacing w:line="360" w:lineRule="auto"/>
    </w:pPr>
    <w:rPr>
      <w:rFonts w:ascii="宋体" w:hAnsi="Times New Roman" w:eastAsia="宋体" w:cs="Times New Roman"/>
      <w:szCs w:val="20"/>
    </w:rPr>
  </w:style>
  <w:style w:type="paragraph" w:customStyle="1" w:styleId="79">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paragraph" w:customStyle="1" w:styleId="80">
    <w:name w:val="Char Char"/>
    <w:basedOn w:val="1"/>
    <w:qFormat/>
    <w:uiPriority w:val="0"/>
    <w:rPr>
      <w:rFonts w:ascii="Times New Roman" w:hAnsi="Times New Roman" w:eastAsia="宋体" w:cs="Times New Roman"/>
      <w:szCs w:val="24"/>
    </w:rPr>
  </w:style>
  <w:style w:type="paragraph" w:customStyle="1" w:styleId="81">
    <w:name w:val="列出段落1"/>
    <w:basedOn w:val="1"/>
    <w:qFormat/>
    <w:uiPriority w:val="34"/>
    <w:pPr>
      <w:ind w:firstLine="420" w:firstLineChars="200"/>
    </w:pPr>
    <w:rPr>
      <w:rFonts w:ascii="Calibri" w:hAnsi="Calibri" w:eastAsia="宋体" w:cs="Times New Roman"/>
      <w:szCs w:val="20"/>
    </w:rPr>
  </w:style>
  <w:style w:type="paragraph" w:customStyle="1" w:styleId="8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样式5"/>
    <w:basedOn w:val="27"/>
    <w:qFormat/>
    <w:uiPriority w:val="0"/>
    <w:pPr>
      <w:spacing w:line="360" w:lineRule="auto"/>
    </w:pPr>
    <w:rPr>
      <w:rFonts w:hint="default" w:ascii="Times New Roman"/>
    </w:rPr>
  </w:style>
  <w:style w:type="paragraph" w:customStyle="1" w:styleId="84">
    <w:name w:val="Char Char Char Char Char Char"/>
    <w:basedOn w:val="1"/>
    <w:qFormat/>
    <w:uiPriority w:val="0"/>
    <w:rPr>
      <w:rFonts w:ascii="Times New Roman" w:hAnsi="Times New Roman" w:eastAsia="宋体" w:cs="Times New Roman"/>
      <w:szCs w:val="24"/>
    </w:rPr>
  </w:style>
  <w:style w:type="paragraph" w:customStyle="1" w:styleId="85">
    <w:name w:val="样式4"/>
    <w:basedOn w:val="1"/>
    <w:qFormat/>
    <w:uiPriority w:val="0"/>
    <w:pPr>
      <w:widowControl/>
      <w:numPr>
        <w:ilvl w:val="0"/>
        <w:numId w:val="3"/>
      </w:numPr>
      <w:spacing w:line="360" w:lineRule="auto"/>
    </w:pPr>
    <w:rPr>
      <w:rFonts w:ascii="宋体" w:hAnsi="宋体" w:eastAsia="宋体" w:cs="Times New Roman"/>
      <w:kern w:val="0"/>
      <w:sz w:val="24"/>
      <w:szCs w:val="24"/>
    </w:rPr>
  </w:style>
  <w:style w:type="paragraph" w:customStyle="1" w:styleId="86">
    <w:name w:val="AY"/>
    <w:basedOn w:val="1"/>
    <w:link w:val="87"/>
    <w:qFormat/>
    <w:uiPriority w:val="0"/>
    <w:pPr>
      <w:spacing w:line="280" w:lineRule="atLeast"/>
      <w:ind w:left="851"/>
    </w:pPr>
    <w:rPr>
      <w:rFonts w:ascii="Arial" w:hAnsi="Arial" w:eastAsia="宋体" w:cs="Times New Roman"/>
      <w:kern w:val="0"/>
      <w:sz w:val="22"/>
      <w:szCs w:val="20"/>
      <w:lang w:val="zh-CN" w:eastAsia="en-US"/>
    </w:rPr>
  </w:style>
  <w:style w:type="character" w:customStyle="1" w:styleId="87">
    <w:name w:val="AY Char"/>
    <w:link w:val="86"/>
    <w:qFormat/>
    <w:uiPriority w:val="0"/>
    <w:rPr>
      <w:rFonts w:ascii="Arial" w:hAnsi="Arial" w:eastAsia="宋体" w:cs="Times New Roman"/>
      <w:kern w:val="0"/>
      <w:sz w:val="22"/>
      <w:szCs w:val="20"/>
      <w:lang w:val="zh-CN" w:eastAsia="en-US"/>
    </w:rPr>
  </w:style>
  <w:style w:type="paragraph" w:customStyle="1" w:styleId="8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new-content-title-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1">
    <w:name w:val="批注文字 Char2"/>
    <w:semiHidden/>
    <w:qFormat/>
    <w:uiPriority w:val="99"/>
    <w:rPr>
      <w:rFonts w:ascii="Times New Roman" w:hAnsi="Times New Roman" w:eastAsia="宋体" w:cs="Times New Roman"/>
      <w:szCs w:val="24"/>
    </w:rPr>
  </w:style>
  <w:style w:type="paragraph" w:customStyle="1" w:styleId="9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93">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HTSC</Company>
  <Pages>9</Pages>
  <Words>5936</Words>
  <Characters>6095</Characters>
  <Lines>45</Lines>
  <Paragraphs>12</Paragraphs>
  <TotalTime>0</TotalTime>
  <ScaleCrop>false</ScaleCrop>
  <LinksUpToDate>false</LinksUpToDate>
  <CharactersWithSpaces>6239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2024-10-24T09:26:00Z</dcterms:created>
  <dc:creator>014244</dc:creator>
  <cp:lastModifiedBy>chaos</cp:lastModifiedBy>
  <dcterms:modified xsi:type="dcterms:W3CDTF">2025-06-26T13:37:45Z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4AEC933A820A4A59A7875BD924C75854_13</vt:lpwstr>
  </property>
</Properties>
</file>