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854B6">
      <w:pPr>
        <w:spacing w:line="360" w:lineRule="auto"/>
        <w:jc w:val="center"/>
        <w:rPr>
          <w:rFonts w:ascii="楷体" w:hAnsi="楷体" w:eastAsia="楷体"/>
          <w:b/>
          <w:color w:val="000000"/>
          <w:sz w:val="32"/>
          <w:szCs w:val="32"/>
        </w:rPr>
      </w:pPr>
      <w:bookmarkStart w:id="0" w:name="_GoBack"/>
      <w:bookmarkEnd w:id="0"/>
      <w:r>
        <w:rPr>
          <w:rFonts w:hint="eastAsia" w:ascii="楷体" w:hAnsi="楷体" w:eastAsia="楷体"/>
          <w:b/>
          <w:color w:val="000000"/>
          <w:sz w:val="32"/>
          <w:szCs w:val="32"/>
        </w:rPr>
        <w:t>安合融信匠人匠心12号私募证券投资基金基金合同补充协议（二）</w:t>
      </w:r>
    </w:p>
    <w:p w14:paraId="5F66A89A">
      <w:pPr>
        <w:spacing w:line="360" w:lineRule="auto"/>
        <w:jc w:val="center"/>
        <w:rPr>
          <w:rFonts w:ascii="楷体" w:hAnsi="楷体" w:eastAsia="楷体"/>
          <w:color w:val="000000"/>
          <w:sz w:val="32"/>
          <w:szCs w:val="32"/>
        </w:rPr>
      </w:pPr>
    </w:p>
    <w:p w14:paraId="005EF7A9">
      <w:pPr>
        <w:tabs>
          <w:tab w:val="left" w:pos="6096"/>
        </w:tabs>
        <w:spacing w:line="300" w:lineRule="auto"/>
        <w:rPr>
          <w:rFonts w:ascii="楷体" w:hAnsi="楷体" w:eastAsia="楷体"/>
          <w:color w:val="000000"/>
          <w:sz w:val="24"/>
        </w:rPr>
      </w:pPr>
      <w:r>
        <w:rPr>
          <w:rFonts w:ascii="楷体" w:hAnsi="楷体" w:eastAsia="楷体"/>
          <w:b/>
          <w:color w:val="000000"/>
          <w:sz w:val="24"/>
        </w:rPr>
        <w:t>本协议当事人的基本情况：</w:t>
      </w:r>
    </w:p>
    <w:p w14:paraId="564FCE75">
      <w:pPr>
        <w:tabs>
          <w:tab w:val="left" w:pos="6096"/>
        </w:tabs>
        <w:spacing w:line="300" w:lineRule="auto"/>
        <w:rPr>
          <w:rFonts w:ascii="楷体" w:hAnsi="楷体" w:eastAsia="楷体"/>
          <w:b/>
          <w:color w:val="000000"/>
          <w:sz w:val="24"/>
        </w:rPr>
      </w:pPr>
      <w:r>
        <w:rPr>
          <w:rFonts w:ascii="楷体" w:hAnsi="楷体" w:eastAsia="楷体"/>
          <w:b/>
          <w:color w:val="000000"/>
          <w:sz w:val="24"/>
        </w:rPr>
        <w:t xml:space="preserve">基金份额持有人: </w:t>
      </w:r>
    </w:p>
    <w:p w14:paraId="4EB043F5">
      <w:pPr>
        <w:tabs>
          <w:tab w:val="left" w:pos="6096"/>
        </w:tabs>
        <w:spacing w:line="300" w:lineRule="auto"/>
        <w:rPr>
          <w:rFonts w:ascii="楷体" w:hAnsi="楷体" w:eastAsia="楷体"/>
          <w:color w:val="000000"/>
          <w:sz w:val="24"/>
          <w:u w:val="single"/>
        </w:rPr>
      </w:pPr>
      <w:r>
        <w:rPr>
          <w:rFonts w:ascii="楷体" w:hAnsi="楷体" w:eastAsia="楷体"/>
          <w:color w:val="000000"/>
          <w:sz w:val="24"/>
        </w:rPr>
        <w:t xml:space="preserve">证件(营业执照)名称: </w:t>
      </w:r>
    </w:p>
    <w:p w14:paraId="5B2BF3FB">
      <w:pPr>
        <w:tabs>
          <w:tab w:val="left" w:pos="6096"/>
        </w:tabs>
        <w:spacing w:line="300" w:lineRule="auto"/>
        <w:rPr>
          <w:rFonts w:ascii="楷体" w:hAnsi="楷体" w:eastAsia="楷体"/>
          <w:color w:val="000000"/>
          <w:sz w:val="24"/>
        </w:rPr>
      </w:pPr>
      <w:r>
        <w:rPr>
          <w:rFonts w:ascii="楷体" w:hAnsi="楷体" w:eastAsia="楷体"/>
          <w:color w:val="000000"/>
          <w:sz w:val="24"/>
        </w:rPr>
        <w:t xml:space="preserve">证件(营业执照)号码: </w:t>
      </w:r>
    </w:p>
    <w:p w14:paraId="403BC631">
      <w:pPr>
        <w:tabs>
          <w:tab w:val="left" w:pos="6096"/>
        </w:tabs>
        <w:spacing w:line="300" w:lineRule="auto"/>
        <w:rPr>
          <w:rFonts w:ascii="楷体" w:hAnsi="楷体" w:eastAsia="楷体"/>
          <w:color w:val="000000"/>
          <w:sz w:val="24"/>
        </w:rPr>
      </w:pPr>
      <w:r>
        <w:rPr>
          <w:rFonts w:ascii="楷体" w:hAnsi="楷体" w:eastAsia="楷体"/>
          <w:color w:val="000000"/>
          <w:sz w:val="24"/>
        </w:rPr>
        <w:t xml:space="preserve">通讯地址: </w:t>
      </w:r>
    </w:p>
    <w:p w14:paraId="502F0FC1">
      <w:pPr>
        <w:tabs>
          <w:tab w:val="left" w:pos="6096"/>
        </w:tabs>
        <w:spacing w:line="300" w:lineRule="auto"/>
        <w:rPr>
          <w:rFonts w:ascii="楷体" w:hAnsi="楷体" w:eastAsia="楷体"/>
          <w:color w:val="000000"/>
          <w:sz w:val="24"/>
        </w:rPr>
      </w:pPr>
      <w:r>
        <w:rPr>
          <w:rFonts w:ascii="楷体" w:hAnsi="楷体" w:eastAsia="楷体"/>
          <w:color w:val="000000"/>
          <w:sz w:val="24"/>
        </w:rPr>
        <w:t xml:space="preserve">邮政编码: </w:t>
      </w:r>
    </w:p>
    <w:p w14:paraId="387C43AB">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联系电话:  </w:t>
      </w:r>
    </w:p>
    <w:p w14:paraId="123CC7D2">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传真: </w:t>
      </w:r>
    </w:p>
    <w:p w14:paraId="40CA8ED1">
      <w:pPr>
        <w:tabs>
          <w:tab w:val="left" w:pos="5040"/>
          <w:tab w:val="left" w:pos="5220"/>
          <w:tab w:val="left" w:pos="6096"/>
        </w:tabs>
        <w:spacing w:line="300" w:lineRule="auto"/>
        <w:rPr>
          <w:rFonts w:ascii="楷体" w:hAnsi="楷体" w:eastAsia="楷体"/>
          <w:bCs/>
          <w:color w:val="000000"/>
          <w:sz w:val="24"/>
        </w:rPr>
      </w:pPr>
      <w:r>
        <w:rPr>
          <w:rFonts w:hint="eastAsia" w:ascii="楷体" w:hAnsi="楷体" w:eastAsia="楷体"/>
          <w:bCs/>
          <w:color w:val="000000"/>
          <w:sz w:val="24"/>
        </w:rPr>
        <w:t>邮箱:</w:t>
      </w:r>
    </w:p>
    <w:p w14:paraId="35D5C55D">
      <w:pPr>
        <w:tabs>
          <w:tab w:val="left" w:pos="5040"/>
          <w:tab w:val="left" w:pos="5220"/>
          <w:tab w:val="left" w:pos="6096"/>
        </w:tabs>
        <w:spacing w:line="300" w:lineRule="auto"/>
        <w:rPr>
          <w:rFonts w:ascii="楷体" w:hAnsi="楷体" w:eastAsia="楷体"/>
          <w:b/>
          <w:color w:val="000000"/>
          <w:sz w:val="24"/>
        </w:rPr>
      </w:pPr>
    </w:p>
    <w:p w14:paraId="650147AA">
      <w:pPr>
        <w:tabs>
          <w:tab w:val="left" w:pos="6096"/>
        </w:tabs>
        <w:spacing w:line="300" w:lineRule="auto"/>
        <w:rPr>
          <w:rFonts w:ascii="楷体" w:hAnsi="楷体" w:eastAsia="楷体"/>
          <w:color w:val="000000"/>
          <w:sz w:val="24"/>
        </w:rPr>
      </w:pPr>
      <w:r>
        <w:rPr>
          <w:rFonts w:ascii="楷体" w:hAnsi="楷体" w:eastAsia="楷体"/>
          <w:b/>
          <w:color w:val="000000"/>
          <w:sz w:val="24"/>
        </w:rPr>
        <w:t xml:space="preserve">基金管理人: </w:t>
      </w:r>
      <w:r>
        <w:rPr>
          <w:rFonts w:hint="eastAsia" w:ascii="楷体" w:hAnsi="楷体" w:eastAsia="楷体"/>
          <w:b/>
          <w:color w:val="000000"/>
          <w:sz w:val="24"/>
        </w:rPr>
        <w:t>安合融信（青岛）私募基金管理有限公司</w:t>
      </w:r>
    </w:p>
    <w:p w14:paraId="7D273E83">
      <w:pPr>
        <w:tabs>
          <w:tab w:val="left" w:pos="6096"/>
        </w:tabs>
        <w:spacing w:line="300" w:lineRule="auto"/>
        <w:rPr>
          <w:rFonts w:ascii="楷体" w:hAnsi="楷体" w:eastAsia="楷体"/>
          <w:color w:val="000000"/>
          <w:sz w:val="24"/>
        </w:rPr>
      </w:pPr>
      <w:r>
        <w:rPr>
          <w:rFonts w:ascii="楷体" w:hAnsi="楷体" w:eastAsia="楷体"/>
          <w:color w:val="000000"/>
          <w:sz w:val="24"/>
        </w:rPr>
        <w:t>法定代表人/执行事务合伙人：高鹏</w:t>
      </w:r>
    </w:p>
    <w:p w14:paraId="65962E29">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住所：山东省青岛市市南区宁夏路288号3号楼106室0022（集中办公区）</w:t>
      </w:r>
    </w:p>
    <w:p w14:paraId="4D75BD6D">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办公地址：山东省青岛市崂山区海尔路61号天宝国际商务中心2号楼1810号</w:t>
      </w:r>
    </w:p>
    <w:p w14:paraId="38F0D2F8">
      <w:pPr>
        <w:tabs>
          <w:tab w:val="left" w:pos="6096"/>
        </w:tabs>
        <w:spacing w:line="300" w:lineRule="auto"/>
        <w:rPr>
          <w:rFonts w:ascii="楷体" w:hAnsi="楷体" w:eastAsia="楷体"/>
          <w:color w:val="000000"/>
          <w:sz w:val="24"/>
        </w:rPr>
      </w:pPr>
      <w:r>
        <w:rPr>
          <w:rFonts w:hint="eastAsia" w:ascii="楷体" w:hAnsi="楷体" w:eastAsia="楷体"/>
          <w:color w:val="000000"/>
          <w:sz w:val="24"/>
        </w:rPr>
        <w:t>邮编：266000</w:t>
      </w:r>
    </w:p>
    <w:p w14:paraId="09DA3BCE">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联系人：张倩</w:t>
      </w:r>
    </w:p>
    <w:p w14:paraId="1434FACC">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联系电话：13589281210</w:t>
      </w:r>
    </w:p>
    <w:p w14:paraId="4F8616FC">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传真：-</w:t>
      </w:r>
    </w:p>
    <w:p w14:paraId="662CA832">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邮箱：ahrx@holchcapital.com</w:t>
      </w:r>
    </w:p>
    <w:p w14:paraId="5A3D8085">
      <w:pPr>
        <w:tabs>
          <w:tab w:val="left" w:pos="5040"/>
          <w:tab w:val="left" w:pos="5220"/>
          <w:tab w:val="left" w:pos="6096"/>
        </w:tabs>
        <w:rPr>
          <w:rFonts w:ascii="楷体" w:hAnsi="楷体" w:eastAsia="楷体"/>
          <w:color w:val="000000"/>
          <w:sz w:val="24"/>
        </w:rPr>
      </w:pPr>
    </w:p>
    <w:p w14:paraId="04785FE9">
      <w:pPr>
        <w:tabs>
          <w:tab w:val="left" w:pos="6096"/>
        </w:tabs>
        <w:spacing w:line="300" w:lineRule="auto"/>
        <w:rPr>
          <w:rFonts w:ascii="楷体" w:hAnsi="楷体" w:eastAsia="楷体"/>
          <w:b/>
          <w:color w:val="000000"/>
          <w:sz w:val="24"/>
        </w:rPr>
      </w:pPr>
      <w:r>
        <w:rPr>
          <w:rFonts w:ascii="楷体" w:hAnsi="楷体" w:eastAsia="楷体"/>
          <w:b/>
          <w:color w:val="000000"/>
          <w:sz w:val="24"/>
        </w:rPr>
        <w:t>基金托管人：华泰证券股份有限公司</w:t>
      </w:r>
    </w:p>
    <w:p w14:paraId="19042F36">
      <w:pPr>
        <w:tabs>
          <w:tab w:val="left" w:pos="6096"/>
        </w:tabs>
        <w:spacing w:line="300" w:lineRule="auto"/>
        <w:rPr>
          <w:rFonts w:ascii="楷体" w:hAnsi="楷体" w:eastAsia="楷体"/>
          <w:color w:val="000000"/>
          <w:sz w:val="24"/>
        </w:rPr>
      </w:pPr>
      <w:r>
        <w:rPr>
          <w:rFonts w:ascii="楷体" w:hAnsi="楷体" w:eastAsia="楷体"/>
          <w:color w:val="000000"/>
          <w:sz w:val="24"/>
        </w:rPr>
        <w:t>法定代表人：张伟</w:t>
      </w:r>
    </w:p>
    <w:p w14:paraId="5093DB9F">
      <w:pPr>
        <w:tabs>
          <w:tab w:val="left" w:pos="6096"/>
        </w:tabs>
        <w:spacing w:line="300" w:lineRule="auto"/>
        <w:rPr>
          <w:rFonts w:ascii="楷体" w:hAnsi="楷体" w:eastAsia="楷体"/>
          <w:color w:val="000000"/>
          <w:sz w:val="24"/>
        </w:rPr>
      </w:pPr>
      <w:r>
        <w:rPr>
          <w:rFonts w:hint="eastAsia" w:ascii="楷体" w:hAnsi="楷体" w:eastAsia="楷体"/>
          <w:color w:val="000000"/>
          <w:sz w:val="24"/>
        </w:rPr>
        <w:t>住所：南京市建邺区江东中路228号</w:t>
      </w:r>
    </w:p>
    <w:p w14:paraId="535D34A8">
      <w:pPr>
        <w:tabs>
          <w:tab w:val="left" w:pos="6096"/>
        </w:tabs>
        <w:spacing w:line="300" w:lineRule="auto"/>
        <w:rPr>
          <w:rFonts w:ascii="楷体" w:hAnsi="楷体" w:eastAsia="楷体"/>
          <w:color w:val="000000"/>
          <w:sz w:val="24"/>
        </w:rPr>
      </w:pPr>
      <w:r>
        <w:rPr>
          <w:rFonts w:ascii="楷体" w:hAnsi="楷体" w:eastAsia="楷体"/>
          <w:color w:val="000000"/>
          <w:sz w:val="24"/>
        </w:rPr>
        <w:t>办公地址：江苏省南京市建邺区江东中路228号</w:t>
      </w:r>
    </w:p>
    <w:p w14:paraId="39B9FF54">
      <w:pPr>
        <w:tabs>
          <w:tab w:val="left" w:pos="6096"/>
        </w:tabs>
        <w:spacing w:line="300" w:lineRule="auto"/>
        <w:rPr>
          <w:rFonts w:ascii="楷体" w:hAnsi="楷体" w:eastAsia="楷体"/>
          <w:color w:val="000000"/>
          <w:sz w:val="24"/>
        </w:rPr>
      </w:pPr>
      <w:r>
        <w:rPr>
          <w:rFonts w:ascii="楷体" w:hAnsi="楷体" w:eastAsia="楷体"/>
          <w:color w:val="000000"/>
          <w:sz w:val="24"/>
        </w:rPr>
        <w:t>邮编：210019</w:t>
      </w:r>
    </w:p>
    <w:p w14:paraId="2F84FB61">
      <w:pPr>
        <w:tabs>
          <w:tab w:val="left" w:pos="6096"/>
        </w:tabs>
        <w:spacing w:line="300" w:lineRule="auto"/>
        <w:rPr>
          <w:rFonts w:ascii="楷体" w:hAnsi="楷体" w:eastAsia="楷体"/>
          <w:color w:val="000000"/>
          <w:sz w:val="24"/>
        </w:rPr>
      </w:pPr>
      <w:r>
        <w:rPr>
          <w:rFonts w:hint="eastAsia" w:ascii="楷体" w:hAnsi="楷体" w:eastAsia="楷体"/>
          <w:color w:val="000000"/>
          <w:sz w:val="24"/>
        </w:rPr>
        <w:t>客户服务联系电话：025-83389988</w:t>
      </w:r>
    </w:p>
    <w:p w14:paraId="1BAC851E">
      <w:pPr>
        <w:tabs>
          <w:tab w:val="left" w:pos="6096"/>
        </w:tabs>
        <w:spacing w:line="300" w:lineRule="auto"/>
        <w:jc w:val="left"/>
        <w:rPr>
          <w:rFonts w:ascii="楷体" w:hAnsi="楷体" w:eastAsia="楷体"/>
          <w:color w:val="000000"/>
          <w:sz w:val="24"/>
        </w:rPr>
      </w:pPr>
      <w:r>
        <w:rPr>
          <w:rFonts w:ascii="楷体" w:hAnsi="楷体" w:eastAsia="楷体"/>
          <w:color w:val="000000"/>
          <w:sz w:val="24"/>
        </w:rPr>
        <w:t>传真：025-83387215</w:t>
      </w:r>
    </w:p>
    <w:p w14:paraId="447B9150">
      <w:pPr>
        <w:tabs>
          <w:tab w:val="left" w:pos="5040"/>
          <w:tab w:val="left" w:pos="5220"/>
          <w:tab w:val="left" w:pos="6096"/>
        </w:tabs>
        <w:spacing w:line="300" w:lineRule="auto"/>
        <w:rPr>
          <w:rFonts w:ascii="楷体" w:hAnsi="楷体" w:eastAsia="楷体"/>
          <w:b/>
          <w:color w:val="000000"/>
          <w:sz w:val="24"/>
        </w:rPr>
      </w:pPr>
    </w:p>
    <w:p w14:paraId="5382737E">
      <w:pPr>
        <w:tabs>
          <w:tab w:val="left" w:pos="5040"/>
          <w:tab w:val="left" w:pos="5220"/>
          <w:tab w:val="left" w:pos="6096"/>
        </w:tabs>
        <w:spacing w:line="300" w:lineRule="auto"/>
        <w:rPr>
          <w:rFonts w:ascii="楷体" w:hAnsi="楷体" w:eastAsia="楷体"/>
          <w:b/>
          <w:color w:val="000000"/>
          <w:sz w:val="24"/>
        </w:rPr>
      </w:pPr>
    </w:p>
    <w:p w14:paraId="4E9582E9">
      <w:pPr>
        <w:tabs>
          <w:tab w:val="left" w:pos="5040"/>
          <w:tab w:val="left" w:pos="5220"/>
          <w:tab w:val="left" w:pos="6096"/>
        </w:tabs>
        <w:spacing w:line="300" w:lineRule="auto"/>
        <w:rPr>
          <w:rFonts w:ascii="楷体" w:hAnsi="楷体" w:eastAsia="楷体"/>
          <w:b/>
          <w:color w:val="000000"/>
          <w:sz w:val="24"/>
        </w:rPr>
      </w:pPr>
    </w:p>
    <w:p w14:paraId="58CC1230">
      <w:pPr>
        <w:tabs>
          <w:tab w:val="left" w:pos="5040"/>
          <w:tab w:val="left" w:pos="5220"/>
          <w:tab w:val="left" w:pos="6096"/>
        </w:tabs>
        <w:spacing w:line="300" w:lineRule="auto"/>
        <w:rPr>
          <w:rFonts w:ascii="楷体" w:hAnsi="楷体" w:eastAsia="楷体"/>
          <w:b/>
          <w:color w:val="000000"/>
          <w:sz w:val="24"/>
        </w:rPr>
      </w:pPr>
    </w:p>
    <w:p w14:paraId="27E2AAB5">
      <w:pPr>
        <w:tabs>
          <w:tab w:val="left" w:pos="5040"/>
          <w:tab w:val="left" w:pos="5220"/>
          <w:tab w:val="left" w:pos="6096"/>
        </w:tabs>
        <w:spacing w:line="300" w:lineRule="auto"/>
        <w:rPr>
          <w:rFonts w:ascii="楷体" w:hAnsi="楷体" w:eastAsia="楷体"/>
          <w:b/>
          <w:color w:val="000000"/>
          <w:sz w:val="24"/>
        </w:rPr>
      </w:pPr>
    </w:p>
    <w:p w14:paraId="3DBBB17A">
      <w:pPr>
        <w:spacing w:line="360" w:lineRule="auto"/>
        <w:ind w:firstLine="480" w:firstLineChars="200"/>
        <w:rPr>
          <w:rFonts w:ascii="楷体" w:hAnsi="楷体" w:eastAsia="楷体"/>
          <w:color w:val="000000"/>
          <w:sz w:val="24"/>
        </w:rPr>
      </w:pPr>
      <w:r>
        <w:rPr>
          <w:rFonts w:ascii="楷体" w:hAnsi="楷体" w:eastAsia="楷体"/>
          <w:color w:val="000000"/>
          <w:sz w:val="24"/>
        </w:rPr>
        <w:t>鉴于基金份额持有人、基金管理人、基金托管人三方签署了《安合融信匠人匠心12号私募证券投资基金基金合同》</w:t>
      </w:r>
      <w:r>
        <w:rPr>
          <w:rFonts w:hint="eastAsia" w:ascii="楷体" w:hAnsi="楷体" w:eastAsia="楷体" w:cs="楷体"/>
          <w:color w:val="000000"/>
          <w:sz w:val="24"/>
          <w:szCs w:val="24"/>
        </w:rPr>
        <w:t>，后续通过补充协议、公告或通知等合同变更文件进行了合同变更</w:t>
      </w:r>
      <w:r>
        <w:rPr>
          <w:rFonts w:ascii="楷体" w:hAnsi="楷体" w:eastAsia="楷体"/>
          <w:color w:val="000000"/>
          <w:sz w:val="24"/>
        </w:rPr>
        <w:t>（以下</w:t>
      </w:r>
      <w:r>
        <w:rPr>
          <w:rFonts w:hint="eastAsia" w:ascii="楷体" w:hAnsi="楷体" w:eastAsia="楷体"/>
          <w:color w:val="000000"/>
          <w:sz w:val="24"/>
        </w:rPr>
        <w:t>统</w:t>
      </w:r>
      <w:r>
        <w:rPr>
          <w:rFonts w:ascii="楷体" w:hAnsi="楷体" w:eastAsia="楷体"/>
          <w:color w:val="000000"/>
          <w:sz w:val="24"/>
        </w:rPr>
        <w:t>称“原合同”）。</w:t>
      </w:r>
      <w:r>
        <w:rPr>
          <w:rFonts w:hint="eastAsia" w:ascii="楷体" w:hAnsi="楷体" w:eastAsia="楷体" w:cs="楷体"/>
          <w:color w:val="000000"/>
          <w:sz w:val="24"/>
          <w:szCs w:val="24"/>
        </w:rPr>
        <w:t>基金管理人应当向基金份额持有人披露前述变更具体内容，如基金管理人披露变更内容不真实、不完整、不准确、不及时，托管人不承担由此产生的任何责任。</w:t>
      </w:r>
      <w:r>
        <w:rPr>
          <w:rFonts w:ascii="楷体" w:hAnsi="楷体" w:eastAsia="楷体"/>
          <w:color w:val="000000"/>
          <w:sz w:val="24"/>
        </w:rPr>
        <w:t>经友好协商，基金份额持有人、基金管理人、基金托管人三方就原合同中的相关事项达成一致意见，特订立本补充协议。</w:t>
      </w:r>
    </w:p>
    <w:p w14:paraId="64947959">
      <w:pPr>
        <w:spacing w:line="360" w:lineRule="auto"/>
        <w:ind w:firstLine="480" w:firstLineChars="200"/>
        <w:rPr>
          <w:rFonts w:ascii="楷体" w:hAnsi="楷体" w:eastAsia="楷体"/>
          <w:color w:val="000000"/>
          <w:sz w:val="24"/>
        </w:rPr>
      </w:pPr>
      <w:r>
        <w:rPr>
          <w:rFonts w:ascii="楷体" w:hAnsi="楷体" w:eastAsia="楷体"/>
          <w:color w:val="000000"/>
          <w:sz w:val="24"/>
        </w:rPr>
        <w:t>除非另有说明，本补充协议中的所有术语，其定义与原合同中的定义相同。</w:t>
      </w:r>
    </w:p>
    <w:p w14:paraId="2F0037FB">
      <w:pPr>
        <w:spacing w:line="360" w:lineRule="auto"/>
        <w:ind w:firstLine="480" w:firstLineChars="200"/>
        <w:rPr>
          <w:rFonts w:ascii="楷体" w:hAnsi="楷体" w:eastAsia="楷体"/>
          <w:color w:val="000000"/>
          <w:sz w:val="24"/>
        </w:rPr>
      </w:pPr>
    </w:p>
    <w:p w14:paraId="36705A32">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一、对原合同修订内容如下：</w:t>
      </w:r>
    </w:p>
    <w:tbl>
      <w:tblPr>
        <w:tblStyle w:val="3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108"/>
        <w:gridCol w:w="3589"/>
      </w:tblGrid>
      <w:tr w14:paraId="67F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0F410AFB">
            <w:pPr>
              <w:jc w:val="center"/>
              <w:rPr>
                <w:rFonts w:ascii="楷体" w:hAnsi="楷体" w:eastAsia="楷体"/>
                <w:color w:val="000000"/>
                <w:szCs w:val="21"/>
              </w:rPr>
            </w:pPr>
            <w:r>
              <w:rPr>
                <w:rFonts w:hint="eastAsia" w:ascii="楷体" w:hAnsi="楷体" w:eastAsia="楷体"/>
                <w:color w:val="000000"/>
                <w:szCs w:val="21"/>
              </w:rPr>
              <w:t>章节</w:t>
            </w:r>
          </w:p>
        </w:tc>
        <w:tc>
          <w:tcPr>
            <w:tcW w:w="3119" w:type="dxa"/>
          </w:tcPr>
          <w:p w14:paraId="4D4EF85A">
            <w:pPr>
              <w:jc w:val="center"/>
              <w:rPr>
                <w:rFonts w:ascii="楷体" w:hAnsi="楷体" w:eastAsia="楷体"/>
                <w:color w:val="000000"/>
                <w:szCs w:val="21"/>
              </w:rPr>
            </w:pPr>
            <w:r>
              <w:rPr>
                <w:rFonts w:hint="eastAsia" w:ascii="楷体" w:hAnsi="楷体" w:eastAsia="楷体"/>
                <w:color w:val="000000"/>
                <w:szCs w:val="21"/>
              </w:rPr>
              <w:t>原合同内容</w:t>
            </w:r>
          </w:p>
        </w:tc>
        <w:tc>
          <w:tcPr>
            <w:tcW w:w="3602" w:type="dxa"/>
          </w:tcPr>
          <w:p w14:paraId="699A853C">
            <w:pPr>
              <w:jc w:val="center"/>
              <w:rPr>
                <w:rFonts w:ascii="楷体" w:hAnsi="楷体" w:eastAsia="楷体"/>
                <w:color w:val="000000"/>
                <w:szCs w:val="21"/>
              </w:rPr>
            </w:pPr>
            <w:r>
              <w:rPr>
                <w:rFonts w:hint="eastAsia" w:ascii="楷体" w:hAnsi="楷体" w:eastAsia="楷体"/>
                <w:color w:val="000000"/>
                <w:szCs w:val="21"/>
              </w:rPr>
              <w:t>变更后的内容</w:t>
            </w:r>
          </w:p>
        </w:tc>
      </w:tr>
      <w:tr w14:paraId="370F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E3ED04F">
            <w:pPr>
              <w:jc w:val="center"/>
              <w:rPr>
                <w:rFonts w:ascii="楷体" w:hAnsi="楷体" w:eastAsia="楷体"/>
                <w:color w:val="000000"/>
                <w:szCs w:val="21"/>
              </w:rPr>
            </w:pPr>
            <w:r>
              <w:rPr>
                <w:rFonts w:hint="eastAsia" w:ascii="楷体" w:hAnsi="楷体" w:eastAsia="楷体"/>
                <w:color w:val="000000"/>
                <w:szCs w:val="21"/>
              </w:rPr>
              <w:t>十一、私募基金的投资</w:t>
            </w:r>
          </w:p>
        </w:tc>
        <w:tc>
          <w:tcPr>
            <w:tcW w:w="3119" w:type="dxa"/>
          </w:tcPr>
          <w:p w14:paraId="7ACA59B6">
            <w:pPr>
              <w:tabs>
                <w:tab w:val="left" w:pos="0"/>
                <w:tab w:val="left" w:pos="900"/>
                <w:tab w:val="left" w:pos="1620"/>
                <w:tab w:val="left" w:pos="6096"/>
              </w:tabs>
              <w:spacing w:line="360" w:lineRule="auto"/>
              <w:ind w:firstLine="420" w:firstLineChars="200"/>
              <w:jc w:val="left"/>
              <w:rPr>
                <w:rFonts w:ascii="楷体" w:hAnsi="楷体" w:eastAsia="楷体"/>
                <w:color w:val="000000"/>
                <w:szCs w:val="21"/>
              </w:rPr>
            </w:pPr>
            <w:r>
              <w:rPr>
                <w:rFonts w:ascii="楷体" w:hAnsi="楷体" w:eastAsia="楷体"/>
                <w:color w:val="000000"/>
                <w:szCs w:val="21"/>
              </w:rPr>
              <w:t>（一）本基金投资</w:t>
            </w:r>
            <w:r>
              <w:rPr>
                <w:rFonts w:hint="eastAsia" w:ascii="楷体" w:hAnsi="楷体" w:eastAsia="楷体"/>
                <w:color w:val="000000"/>
                <w:szCs w:val="21"/>
              </w:rPr>
              <w:t>事项</w:t>
            </w:r>
            <w:r>
              <w:rPr>
                <w:rFonts w:ascii="楷体" w:hAnsi="楷体" w:eastAsia="楷体"/>
                <w:color w:val="000000"/>
                <w:sz w:val="24"/>
                <w:szCs w:val="24"/>
              </w:rPr>
              <w:t xml:space="preserve"> </w:t>
            </w:r>
          </w:p>
          <w:p w14:paraId="3FE0946D">
            <w:pPr>
              <w:spacing w:line="315" w:lineRule="auto"/>
              <w:ind w:firstLine="420" w:firstLineChars="200"/>
              <w:jc w:val="left"/>
              <w:rPr>
                <w:rFonts w:ascii="楷体" w:hAnsi="楷体" w:eastAsia="楷体"/>
                <w:color w:val="000000"/>
                <w:szCs w:val="21"/>
              </w:rPr>
            </w:pPr>
            <w:r>
              <w:rPr>
                <w:rFonts w:hint="eastAsia" w:ascii="楷体" w:hAnsi="楷体" w:eastAsia="楷体"/>
                <w:color w:val="000000"/>
                <w:szCs w:val="21"/>
              </w:rPr>
              <w:t>3、投资范围</w:t>
            </w:r>
          </w:p>
          <w:p w14:paraId="25AAF670">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（1）权益类：国内依法发行上市的股票、港股通、存托凭证、股票型公募基金、REITs公募基金</w:t>
            </w:r>
          </w:p>
          <w:p w14:paraId="2ABCDC30">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（2）固定收益类：交易所债券通用质押式逆回购、债券型公募基金</w:t>
            </w:r>
          </w:p>
          <w:p w14:paraId="2A57EB71">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（3）期货和衍生品类：期货、场内期权、商品型公募基金</w:t>
            </w:r>
          </w:p>
          <w:p w14:paraId="09F004E7">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（4）其他：银行活期存款、转融通、融资融券（所属资产类别以实际持仓为准）、货币市场基金、混合型公募基金、FOF型公募基金、QDII公募基金</w:t>
            </w:r>
          </w:p>
          <w:p w14:paraId="57F8C3E5">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本基金投资于混合型公募基金、FOF型公募基金、QDII公募基金的，按照基金最新披露的定期报告确定所属持仓类别。</w:t>
            </w:r>
          </w:p>
          <w:p w14:paraId="7D8007F2">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本基金合同相关具体投资标的定义参照国家有关法律法规的规定。</w:t>
            </w:r>
          </w:p>
          <w:p w14:paraId="33BDD45D">
            <w:pPr>
              <w:jc w:val="left"/>
              <w:rPr>
                <w:rFonts w:ascii="楷体" w:hAnsi="楷体" w:eastAsia="楷体"/>
                <w:color w:val="000000"/>
                <w:szCs w:val="21"/>
              </w:rPr>
            </w:pPr>
          </w:p>
        </w:tc>
        <w:tc>
          <w:tcPr>
            <w:tcW w:w="3602" w:type="dxa"/>
          </w:tcPr>
          <w:p w14:paraId="1488BA98">
            <w:pPr>
              <w:tabs>
                <w:tab w:val="left" w:pos="0"/>
                <w:tab w:val="left" w:pos="900"/>
                <w:tab w:val="left" w:pos="1620"/>
                <w:tab w:val="left" w:pos="6096"/>
              </w:tabs>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（一）本基金投资事项</w:t>
            </w:r>
            <w:r>
              <w:rPr>
                <w:rFonts w:ascii="楷体" w:hAnsi="楷体" w:eastAsia="楷体"/>
                <w:color w:val="000000"/>
                <w:sz w:val="24"/>
                <w:szCs w:val="24"/>
              </w:rPr>
              <w:t xml:space="preserve"> </w:t>
            </w:r>
          </w:p>
          <w:p w14:paraId="5C6B25A5">
            <w:pPr>
              <w:spacing w:line="315" w:lineRule="auto"/>
              <w:ind w:firstLine="420" w:firstLineChars="200"/>
              <w:jc w:val="left"/>
              <w:rPr>
                <w:rFonts w:ascii="楷体" w:hAnsi="楷体" w:eastAsia="楷体"/>
                <w:color w:val="000000"/>
                <w:szCs w:val="21"/>
              </w:rPr>
            </w:pPr>
            <w:r>
              <w:rPr>
                <w:rFonts w:hint="eastAsia" w:ascii="楷体" w:hAnsi="楷体" w:eastAsia="楷体"/>
                <w:color w:val="000000"/>
                <w:szCs w:val="21"/>
              </w:rPr>
              <w:t>3、投资范围</w:t>
            </w:r>
          </w:p>
          <w:p w14:paraId="15900F46">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（1）权益类：国内依法发行上市的股票、港股通、存托凭证、股票型公募基金、REITs公募基金</w:t>
            </w:r>
          </w:p>
          <w:p w14:paraId="52A6AC39">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（2）固定收益类：交易所债券通用质押式逆回购、债券型公募基金</w:t>
            </w:r>
          </w:p>
          <w:p w14:paraId="5F29DE99">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（3）期货和衍生品类：期货、场内期权、</w:t>
            </w:r>
            <w:r>
              <w:rPr>
                <w:rFonts w:hint="eastAsia" w:ascii="楷体" w:hAnsi="楷体" w:eastAsia="楷体"/>
                <w:b/>
                <w:bCs/>
                <w:color w:val="000000"/>
                <w:szCs w:val="21"/>
              </w:rPr>
              <w:t>上海黄金交易所交易品种</w:t>
            </w:r>
            <w:r>
              <w:rPr>
                <w:rFonts w:hint="eastAsia" w:ascii="楷体" w:hAnsi="楷体" w:eastAsia="楷体"/>
                <w:color w:val="000000"/>
                <w:szCs w:val="21"/>
              </w:rPr>
              <w:t>、商品型公募基金</w:t>
            </w:r>
          </w:p>
          <w:p w14:paraId="644D6FE4">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（4）其他：银行活期存款、转融通、融资融券（所属资产类别以实际持仓为准）、货币市场基金、混合型公募基金、FOF型公募基金、QDII公募基金</w:t>
            </w:r>
          </w:p>
          <w:p w14:paraId="3531BE23">
            <w:pPr>
              <w:tabs>
                <w:tab w:val="left" w:pos="6096"/>
              </w:tabs>
              <w:spacing w:line="360" w:lineRule="auto"/>
              <w:ind w:firstLine="420" w:firstLineChars="200"/>
              <w:rPr>
                <w:rFonts w:ascii="楷体" w:hAnsi="楷体" w:eastAsia="楷体"/>
                <w:color w:val="000000"/>
                <w:szCs w:val="21"/>
              </w:rPr>
            </w:pPr>
            <w:r>
              <w:rPr>
                <w:rFonts w:ascii="楷体" w:hAnsi="楷体" w:eastAsia="楷体"/>
                <w:color w:val="000000"/>
                <w:szCs w:val="21"/>
              </w:rPr>
              <w:t>本基金投资于混合型公募基金、FOF型公募基金、QDII公募基金的，按照基金最新披露的定期报告确定所属持仓类别。</w:t>
            </w:r>
          </w:p>
          <w:p w14:paraId="505824C6">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本基金合同相关具体投资标的定义参照国家有关法律法规的规定。</w:t>
            </w:r>
          </w:p>
          <w:p w14:paraId="09CA75A4">
            <w:pPr>
              <w:tabs>
                <w:tab w:val="left" w:pos="6096"/>
              </w:tabs>
              <w:spacing w:line="360" w:lineRule="auto"/>
              <w:ind w:firstLine="420" w:firstLineChars="200"/>
              <w:rPr>
                <w:rFonts w:ascii="楷体" w:hAnsi="楷体" w:eastAsia="楷体"/>
                <w:color w:val="000000"/>
                <w:szCs w:val="21"/>
              </w:rPr>
            </w:pPr>
          </w:p>
        </w:tc>
      </w:tr>
    </w:tbl>
    <w:p w14:paraId="76071566">
      <w:pPr>
        <w:spacing w:line="360" w:lineRule="auto"/>
        <w:ind w:firstLine="480" w:firstLineChars="200"/>
        <w:rPr>
          <w:rFonts w:ascii="楷体" w:hAnsi="楷体" w:eastAsia="楷体"/>
          <w:color w:val="000000"/>
          <w:sz w:val="24"/>
        </w:rPr>
      </w:pPr>
    </w:p>
    <w:p w14:paraId="08CCDB0D">
      <w:pPr>
        <w:spacing w:line="360" w:lineRule="auto"/>
        <w:ind w:firstLine="482" w:firstLineChars="200"/>
        <w:rPr>
          <w:rFonts w:ascii="楷体" w:hAnsi="楷体" w:eastAsia="楷体"/>
          <w:b/>
          <w:color w:val="000000"/>
          <w:sz w:val="24"/>
        </w:rPr>
      </w:pPr>
      <w:r>
        <w:rPr>
          <w:rFonts w:ascii="楷体" w:hAnsi="楷体" w:eastAsia="楷体"/>
          <w:b/>
          <w:color w:val="000000"/>
          <w:sz w:val="24"/>
        </w:rPr>
        <w:t>二、</w:t>
      </w:r>
      <w:r>
        <w:rPr>
          <w:rFonts w:hint="eastAsia" w:ascii="楷体" w:hAnsi="楷体" w:eastAsia="楷体"/>
          <w:b/>
          <w:color w:val="000000"/>
          <w:sz w:val="24"/>
        </w:rPr>
        <w:t>风险揭示</w:t>
      </w:r>
    </w:p>
    <w:p w14:paraId="35FB0088">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ascii="楷体" w:hAnsi="楷体" w:eastAsia="楷体"/>
          <w:b/>
          <w:color w:val="000000"/>
          <w:sz w:val="24"/>
          <w:szCs w:val="24"/>
        </w:rPr>
        <w:t>投资于上海黄金交易所交易品种的风险包括但不限于：</w:t>
      </w:r>
    </w:p>
    <w:p w14:paraId="79502C55">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（1）因受国内国际各种政治、经济因素，以及各种突发事件的影响，黄金和白银的价格可能会发生剧烈波动。</w:t>
      </w:r>
    </w:p>
    <w:p w14:paraId="13C1AB4C">
      <w:pPr>
        <w:tabs>
          <w:tab w:val="left" w:pos="6096"/>
        </w:tabs>
        <w:topLinePunct/>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（2）在某个交易品种达到涨跌停板的情况下，会出现买入或卖出无法成交的可能，本基金持有的保证金可能损失殆尽且不足以弥补交易亏损。</w:t>
      </w:r>
    </w:p>
    <w:p w14:paraId="30424D6F">
      <w:pPr>
        <w:spacing w:line="360" w:lineRule="auto"/>
        <w:ind w:firstLine="482" w:firstLineChars="200"/>
        <w:rPr>
          <w:rFonts w:ascii="楷体" w:hAnsi="楷体" w:eastAsia="楷体"/>
          <w:b/>
          <w:color w:val="000000"/>
          <w:sz w:val="24"/>
        </w:rPr>
      </w:pPr>
    </w:p>
    <w:p w14:paraId="7AA164C0">
      <w:pPr>
        <w:spacing w:line="360" w:lineRule="auto"/>
        <w:ind w:firstLine="482" w:firstLineChars="200"/>
        <w:rPr>
          <w:rFonts w:ascii="楷体" w:hAnsi="楷体" w:eastAsia="楷体"/>
          <w:b/>
          <w:color w:val="000000"/>
          <w:sz w:val="24"/>
        </w:rPr>
      </w:pPr>
      <w:r>
        <w:rPr>
          <w:rFonts w:ascii="楷体" w:hAnsi="楷体" w:eastAsia="楷体"/>
          <w:b/>
          <w:color w:val="000000"/>
          <w:sz w:val="24"/>
        </w:rPr>
        <w:t>三、</w:t>
      </w:r>
      <w:r>
        <w:rPr>
          <w:rFonts w:hint="eastAsia" w:ascii="楷体" w:hAnsi="楷体" w:eastAsia="楷体"/>
          <w:b/>
          <w:color w:val="000000"/>
          <w:sz w:val="24"/>
        </w:rPr>
        <w:t>补充协议的生效</w:t>
      </w:r>
    </w:p>
    <w:p w14:paraId="1CA31A41">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w:t>
      </w:r>
      <w:r>
        <w:rPr>
          <w:rFonts w:ascii="楷体" w:hAnsi="楷体" w:eastAsia="楷体"/>
          <w:b/>
          <w:color w:val="000000"/>
          <w:sz w:val="24"/>
        </w:rPr>
        <w:t>本</w:t>
      </w:r>
      <w:r>
        <w:rPr>
          <w:rFonts w:hint="eastAsia" w:ascii="楷体" w:hAnsi="楷体" w:eastAsia="楷体"/>
          <w:b/>
          <w:color w:val="000000"/>
          <w:sz w:val="24"/>
        </w:rPr>
        <w:t>补充</w:t>
      </w:r>
      <w:r>
        <w:rPr>
          <w:rFonts w:ascii="楷体" w:hAnsi="楷体" w:eastAsia="楷体"/>
          <w:b/>
          <w:color w:val="000000"/>
          <w:sz w:val="24"/>
        </w:rPr>
        <w:t>协议</w:t>
      </w:r>
      <w:r>
        <w:rPr>
          <w:rFonts w:hint="eastAsia" w:ascii="楷体" w:hAnsi="楷体" w:eastAsia="楷体"/>
          <w:b/>
          <w:color w:val="000000"/>
          <w:sz w:val="24"/>
        </w:rPr>
        <w:t>同时</w:t>
      </w:r>
      <w:r>
        <w:rPr>
          <w:rFonts w:ascii="楷体" w:hAnsi="楷体" w:eastAsia="楷体"/>
          <w:b/>
          <w:color w:val="000000"/>
          <w:sz w:val="24"/>
        </w:rPr>
        <w:t>满足以下条件后生效：</w:t>
      </w:r>
    </w:p>
    <w:p w14:paraId="3832F6DF">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（1）全体基金份额持有人、基金管理人、基金托管人合法签署；</w:t>
      </w:r>
    </w:p>
    <w:p w14:paraId="163598E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（2）基金管理人将《生效通知》（见附件一）告知基金托管人；</w:t>
      </w:r>
    </w:p>
    <w:p w14:paraId="21370812">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（3）基金管理人以网站公告/邮件/电话或原合同约定的其他方式将本补充协议生效日告知全体基金份额持有人。</w:t>
      </w:r>
    </w:p>
    <w:p w14:paraId="573D589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2、本补充协议生效的特别条款：</w:t>
      </w:r>
    </w:p>
    <w:p w14:paraId="677C0EE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（1）本补充协议生效日以《生效通知》载明的生效日期为准，基金管理人对本补充协议生效日的准确性、合法性负责；</w:t>
      </w:r>
    </w:p>
    <w:p w14:paraId="1D54149A">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 xml:space="preserve">（2）本补充协议的生效日不早于基金管理人将《生效通知》通知到基金托管人的日期，由于基金管理人未及时通知基金托管人而导致的损失由基金管理人承担； </w:t>
      </w:r>
    </w:p>
    <w:p w14:paraId="3DA70E45">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（3）关于本补充协议生效事项，基金管理人负责通知基金份额持有人，基金托管人对于基金管理人是否通知基金份额持有人不承担监督责任。</w:t>
      </w:r>
    </w:p>
    <w:p w14:paraId="4CDB3AFE">
      <w:pPr>
        <w:spacing w:line="360" w:lineRule="auto"/>
        <w:ind w:firstLine="480" w:firstLineChars="200"/>
        <w:rPr>
          <w:rFonts w:ascii="楷体" w:hAnsi="楷体" w:eastAsia="楷体"/>
          <w:color w:val="000000"/>
          <w:sz w:val="24"/>
        </w:rPr>
      </w:pPr>
      <w:r>
        <w:rPr>
          <w:rFonts w:ascii="楷体" w:hAnsi="楷体" w:eastAsia="楷体"/>
          <w:color w:val="000000"/>
          <w:sz w:val="24"/>
        </w:rPr>
        <w:t>3、因</w:t>
      </w:r>
      <w:r>
        <w:rPr>
          <w:rFonts w:hint="eastAsia" w:ascii="楷体" w:hAnsi="楷体" w:eastAsia="楷体"/>
          <w:color w:val="000000"/>
          <w:sz w:val="24"/>
        </w:rPr>
        <w:t>基金管理人未妥善履行职责致使本补充协议不满足上述生效条件而</w:t>
      </w:r>
      <w:r>
        <w:rPr>
          <w:rFonts w:ascii="楷体" w:hAnsi="楷体" w:eastAsia="楷体"/>
          <w:color w:val="000000"/>
          <w:sz w:val="24"/>
        </w:rPr>
        <w:t>无法生效的，由</w:t>
      </w:r>
      <w:r>
        <w:rPr>
          <w:rFonts w:hint="eastAsia" w:ascii="楷体" w:hAnsi="楷体" w:eastAsia="楷体"/>
          <w:color w:val="000000"/>
          <w:sz w:val="24"/>
        </w:rPr>
        <w:t>基金</w:t>
      </w:r>
      <w:r>
        <w:rPr>
          <w:rFonts w:ascii="楷体" w:hAnsi="楷体" w:eastAsia="楷体"/>
          <w:color w:val="000000"/>
          <w:sz w:val="24"/>
        </w:rPr>
        <w:t>管理人承担</w:t>
      </w:r>
      <w:r>
        <w:rPr>
          <w:rFonts w:hint="eastAsia" w:ascii="楷体" w:hAnsi="楷体" w:eastAsia="楷体"/>
          <w:color w:val="000000"/>
          <w:sz w:val="24"/>
        </w:rPr>
        <w:t>相应</w:t>
      </w:r>
      <w:r>
        <w:rPr>
          <w:rFonts w:ascii="楷体" w:hAnsi="楷体" w:eastAsia="楷体"/>
          <w:color w:val="000000"/>
          <w:sz w:val="24"/>
        </w:rPr>
        <w:t>责任。</w:t>
      </w:r>
    </w:p>
    <w:p w14:paraId="1172F885">
      <w:pPr>
        <w:spacing w:line="360" w:lineRule="auto"/>
        <w:ind w:firstLine="480" w:firstLineChars="200"/>
        <w:rPr>
          <w:rFonts w:ascii="楷体" w:hAnsi="楷体" w:eastAsia="楷体"/>
          <w:color w:val="000000"/>
          <w:sz w:val="24"/>
        </w:rPr>
      </w:pPr>
    </w:p>
    <w:p w14:paraId="02B4BC6B">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四、附则</w:t>
      </w:r>
    </w:p>
    <w:p w14:paraId="6AAD0DE4">
      <w:pPr>
        <w:spacing w:line="360" w:lineRule="auto"/>
        <w:ind w:firstLine="480" w:firstLineChars="200"/>
        <w:rPr>
          <w:rFonts w:ascii="楷体" w:hAnsi="楷体" w:eastAsia="楷体"/>
          <w:color w:val="000000"/>
          <w:sz w:val="24"/>
        </w:rPr>
      </w:pPr>
      <w:r>
        <w:rPr>
          <w:rFonts w:hint="eastAsia" w:ascii="楷体" w:hAnsi="楷体" w:eastAsia="楷体"/>
          <w:color w:val="000000"/>
          <w:sz w:val="24"/>
        </w:rPr>
        <w:t>1、基金管理人承诺全体基金份额持有人均已合法合规并有效签署原合同和本补充协议。</w:t>
      </w:r>
    </w:p>
    <w:p w14:paraId="0BFAC671">
      <w:pPr>
        <w:spacing w:line="360" w:lineRule="auto"/>
        <w:ind w:firstLine="480" w:firstLineChars="200"/>
        <w:rPr>
          <w:rFonts w:ascii="楷体" w:hAnsi="楷体" w:eastAsia="楷体"/>
          <w:color w:val="000000"/>
          <w:sz w:val="24"/>
        </w:rPr>
      </w:pPr>
      <w:r>
        <w:rPr>
          <w:rFonts w:hint="eastAsia" w:ascii="楷体" w:hAnsi="楷体" w:eastAsia="楷体"/>
          <w:color w:val="000000"/>
          <w:sz w:val="24"/>
        </w:rPr>
        <w:t>2、基金管理人应及时向基金托管人移交本补充协议生效件，并保证</w:t>
      </w:r>
      <w:r>
        <w:rPr>
          <w:rFonts w:ascii="楷体" w:hAnsi="楷体" w:eastAsia="楷体"/>
          <w:color w:val="000000"/>
          <w:sz w:val="24"/>
        </w:rPr>
        <w:t>提供给</w:t>
      </w:r>
      <w:r>
        <w:rPr>
          <w:rFonts w:hint="eastAsia" w:ascii="楷体" w:hAnsi="楷体" w:eastAsia="楷体"/>
          <w:color w:val="000000"/>
          <w:sz w:val="24"/>
        </w:rPr>
        <w:t>基金</w:t>
      </w:r>
      <w:r>
        <w:rPr>
          <w:rFonts w:ascii="楷体" w:hAnsi="楷体" w:eastAsia="楷体"/>
          <w:color w:val="000000"/>
          <w:sz w:val="24"/>
        </w:rPr>
        <w:t>托管人的本补充协议</w:t>
      </w:r>
      <w:r>
        <w:rPr>
          <w:rFonts w:hint="eastAsia" w:ascii="楷体" w:hAnsi="楷体" w:eastAsia="楷体"/>
          <w:color w:val="000000"/>
          <w:sz w:val="24"/>
        </w:rPr>
        <w:t>生效件</w:t>
      </w:r>
      <w:r>
        <w:rPr>
          <w:rFonts w:ascii="楷体" w:hAnsi="楷体" w:eastAsia="楷体"/>
          <w:color w:val="000000"/>
          <w:sz w:val="24"/>
        </w:rPr>
        <w:t>的真实性</w:t>
      </w:r>
      <w:r>
        <w:rPr>
          <w:rFonts w:hint="eastAsia" w:ascii="楷体" w:hAnsi="楷体" w:eastAsia="楷体"/>
          <w:color w:val="000000"/>
          <w:sz w:val="24"/>
        </w:rPr>
        <w:t>、</w:t>
      </w:r>
      <w:r>
        <w:rPr>
          <w:rFonts w:ascii="楷体" w:hAnsi="楷体" w:eastAsia="楷体"/>
          <w:color w:val="000000"/>
          <w:sz w:val="24"/>
        </w:rPr>
        <w:t>完整性</w:t>
      </w:r>
      <w:r>
        <w:rPr>
          <w:rFonts w:hint="eastAsia" w:ascii="楷体" w:hAnsi="楷体" w:eastAsia="楷体"/>
          <w:color w:val="000000"/>
          <w:sz w:val="24"/>
        </w:rPr>
        <w:t>、准确性和有效性。</w:t>
      </w:r>
    </w:p>
    <w:p w14:paraId="2E9B82AB">
      <w:pPr>
        <w:spacing w:line="360" w:lineRule="auto"/>
        <w:ind w:firstLine="480" w:firstLineChars="200"/>
        <w:rPr>
          <w:rFonts w:ascii="楷体" w:hAnsi="楷体" w:eastAsia="楷体"/>
          <w:color w:val="000000"/>
          <w:sz w:val="24"/>
        </w:rPr>
      </w:pPr>
      <w:r>
        <w:rPr>
          <w:rFonts w:hint="eastAsia" w:ascii="楷体" w:hAnsi="楷体" w:eastAsia="楷体"/>
          <w:color w:val="000000"/>
          <w:sz w:val="24"/>
        </w:rPr>
        <w:t>3、本补充协议生效后，基金管理人应按照法律法规规定及原合同约定履行备案变更手续等相关义务。</w:t>
      </w:r>
    </w:p>
    <w:p w14:paraId="1EF094A4">
      <w:pPr>
        <w:spacing w:line="360" w:lineRule="auto"/>
        <w:ind w:firstLine="480" w:firstLineChars="200"/>
        <w:rPr>
          <w:rFonts w:ascii="楷体" w:hAnsi="楷体" w:eastAsia="楷体"/>
          <w:color w:val="000000"/>
          <w:sz w:val="24"/>
        </w:rPr>
      </w:pPr>
      <w:r>
        <w:rPr>
          <w:rFonts w:hint="eastAsia" w:ascii="楷体" w:hAnsi="楷体" w:eastAsia="楷体"/>
          <w:color w:val="000000"/>
          <w:sz w:val="24"/>
        </w:rPr>
        <w:t>4、</w:t>
      </w:r>
      <w:r>
        <w:rPr>
          <w:rFonts w:ascii="楷体" w:hAnsi="楷体" w:eastAsia="楷体"/>
          <w:color w:val="000000"/>
          <w:sz w:val="24"/>
        </w:rPr>
        <w:t>本补充协议与原合同中约定不一致的条款，以本补充协议内容为准，本补充协议未作约定的，仍以原合同内容为准。</w:t>
      </w:r>
    </w:p>
    <w:p w14:paraId="0E832C1A">
      <w:pPr>
        <w:spacing w:line="360" w:lineRule="auto"/>
        <w:ind w:firstLine="480" w:firstLineChars="200"/>
        <w:rPr>
          <w:rFonts w:ascii="楷体" w:hAnsi="楷体" w:eastAsia="楷体"/>
          <w:color w:val="000000"/>
          <w:sz w:val="24"/>
        </w:rPr>
      </w:pPr>
      <w:r>
        <w:rPr>
          <w:rFonts w:hint="eastAsia" w:ascii="楷体" w:hAnsi="楷体" w:eastAsia="楷体"/>
          <w:color w:val="000000"/>
          <w:sz w:val="24"/>
        </w:rPr>
        <w:t>5、</w:t>
      </w:r>
      <w:r>
        <w:rPr>
          <w:rFonts w:ascii="楷体" w:hAnsi="楷体" w:eastAsia="楷体"/>
          <w:color w:val="000000"/>
          <w:sz w:val="24"/>
        </w:rPr>
        <w:t>本补充协议一式叁份，</w:t>
      </w:r>
      <w:r>
        <w:rPr>
          <w:rFonts w:hint="eastAsia" w:ascii="楷体" w:hAnsi="楷体" w:eastAsia="楷体"/>
          <w:color w:val="000000"/>
          <w:sz w:val="24"/>
        </w:rPr>
        <w:t>基金份额持有人</w:t>
      </w:r>
      <w:r>
        <w:rPr>
          <w:rFonts w:ascii="楷体" w:hAnsi="楷体" w:eastAsia="楷体"/>
          <w:color w:val="000000"/>
          <w:sz w:val="24"/>
        </w:rPr>
        <w:t>、</w:t>
      </w:r>
      <w:r>
        <w:rPr>
          <w:rFonts w:hint="eastAsia" w:ascii="楷体" w:hAnsi="楷体" w:eastAsia="楷体"/>
          <w:color w:val="000000"/>
          <w:sz w:val="24"/>
        </w:rPr>
        <w:t>基金管理人</w:t>
      </w:r>
      <w:r>
        <w:rPr>
          <w:rFonts w:ascii="楷体" w:hAnsi="楷体" w:eastAsia="楷体"/>
          <w:color w:val="000000"/>
          <w:sz w:val="24"/>
        </w:rPr>
        <w:t>、</w:t>
      </w:r>
      <w:r>
        <w:rPr>
          <w:rFonts w:hint="eastAsia" w:ascii="楷体" w:hAnsi="楷体" w:eastAsia="楷体"/>
          <w:color w:val="000000"/>
          <w:sz w:val="24"/>
        </w:rPr>
        <w:t>基金托管人</w:t>
      </w:r>
      <w:r>
        <w:rPr>
          <w:rFonts w:ascii="楷体" w:hAnsi="楷体" w:eastAsia="楷体"/>
          <w:color w:val="000000"/>
          <w:sz w:val="24"/>
        </w:rPr>
        <w:t>三方各执一份，每份具有同等的法律效力。</w:t>
      </w:r>
    </w:p>
    <w:p w14:paraId="593F90B9">
      <w:pPr>
        <w:ind w:firstLine="480" w:firstLineChars="200"/>
        <w:rPr>
          <w:rFonts w:ascii="楷体" w:hAnsi="楷体" w:eastAsia="楷体"/>
          <w:color w:val="000000"/>
          <w:sz w:val="24"/>
        </w:rPr>
      </w:pPr>
      <w:r>
        <w:rPr>
          <w:rFonts w:ascii="楷体" w:hAnsi="楷体" w:eastAsia="楷体"/>
          <w:color w:val="000000"/>
          <w:sz w:val="24"/>
        </w:rPr>
        <w:t>（以下无正文）</w:t>
      </w:r>
    </w:p>
    <w:p w14:paraId="769FFAA5">
      <w:pPr>
        <w:spacing w:line="360" w:lineRule="auto"/>
        <w:jc w:val="center"/>
        <w:rPr>
          <w:rFonts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w:t>
      </w:r>
      <w:r>
        <w:rPr>
          <w:rFonts w:ascii="楷体" w:hAnsi="楷体" w:eastAsia="楷体"/>
          <w:color w:val="000000"/>
          <w:sz w:val="24"/>
        </w:rPr>
        <w:t>本页无正文，为《</w:t>
      </w:r>
      <w:r>
        <w:rPr>
          <w:rFonts w:hint="eastAsia" w:ascii="楷体" w:hAnsi="楷体" w:eastAsia="楷体"/>
          <w:color w:val="000000"/>
          <w:sz w:val="24"/>
        </w:rPr>
        <w:t>安合融信匠人匠心12号私募证券投资基金基金合同补充协议（二）</w:t>
      </w:r>
      <w:r>
        <w:rPr>
          <w:rFonts w:ascii="楷体" w:hAnsi="楷体" w:eastAsia="楷体"/>
          <w:color w:val="000000"/>
          <w:sz w:val="24"/>
        </w:rPr>
        <w:t>》签署页</w:t>
      </w:r>
      <w:r>
        <w:rPr>
          <w:rFonts w:hint="eastAsia" w:ascii="楷体" w:hAnsi="楷体" w:eastAsia="楷体"/>
          <w:color w:val="000000"/>
          <w:sz w:val="24"/>
        </w:rPr>
        <w:t>）</w:t>
      </w:r>
    </w:p>
    <w:p w14:paraId="725F8C4A">
      <w:pPr>
        <w:spacing w:line="360" w:lineRule="auto"/>
        <w:rPr>
          <w:rFonts w:ascii="楷体" w:hAnsi="楷体" w:eastAsia="楷体"/>
          <w:color w:val="000000"/>
          <w:sz w:val="24"/>
        </w:rPr>
      </w:pPr>
    </w:p>
    <w:p w14:paraId="5695F8EE">
      <w:pPr>
        <w:tabs>
          <w:tab w:val="left" w:pos="6096"/>
        </w:tabs>
        <w:spacing w:line="360" w:lineRule="auto"/>
        <w:rPr>
          <w:rFonts w:ascii="楷体" w:hAnsi="楷体" w:eastAsia="楷体"/>
          <w:color w:val="000000"/>
          <w:sz w:val="24"/>
        </w:rPr>
      </w:pPr>
      <w:r>
        <w:rPr>
          <w:rFonts w:ascii="楷体" w:hAnsi="楷体" w:eastAsia="楷体"/>
          <w:b/>
          <w:color w:val="000000"/>
          <w:sz w:val="24"/>
        </w:rPr>
        <w:t>基金</w:t>
      </w:r>
      <w:r>
        <w:rPr>
          <w:rFonts w:hint="eastAsia" w:ascii="楷体" w:hAnsi="楷体" w:eastAsia="楷体"/>
          <w:b/>
          <w:color w:val="000000"/>
          <w:sz w:val="24"/>
        </w:rPr>
        <w:t>份额持有人</w:t>
      </w:r>
      <w:r>
        <w:rPr>
          <w:rFonts w:ascii="楷体" w:hAnsi="楷体" w:eastAsia="楷体"/>
          <w:b/>
          <w:color w:val="000000"/>
          <w:sz w:val="24"/>
        </w:rPr>
        <w:t>：</w:t>
      </w:r>
      <w:r>
        <w:rPr>
          <w:rFonts w:ascii="楷体" w:hAnsi="楷体" w:eastAsia="楷体"/>
          <w:color w:val="000000"/>
          <w:sz w:val="24"/>
        </w:rPr>
        <w:t xml:space="preserve">         （</w:t>
      </w:r>
      <w:r>
        <w:rPr>
          <w:rFonts w:hint="eastAsia" w:ascii="楷体" w:hAnsi="楷体" w:eastAsia="楷体" w:cs="楷体"/>
          <w:color w:val="000000"/>
          <w:kern w:val="0"/>
          <w:sz w:val="24"/>
          <w:szCs w:val="24"/>
        </w:rPr>
        <w:t>签章</w:t>
      </w:r>
      <w:r>
        <w:rPr>
          <w:rFonts w:ascii="楷体" w:hAnsi="楷体" w:eastAsia="楷体"/>
          <w:color w:val="000000"/>
          <w:sz w:val="24"/>
        </w:rPr>
        <w:t>）</w:t>
      </w:r>
    </w:p>
    <w:p w14:paraId="527B9AA7">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6AE8CA7D">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7FAD04BC">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2B9B8CB8">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09724264">
      <w:pPr>
        <w:tabs>
          <w:tab w:val="left" w:pos="6096"/>
        </w:tabs>
        <w:spacing w:line="360" w:lineRule="auto"/>
        <w:ind w:firstLine="480"/>
        <w:rPr>
          <w:rFonts w:ascii="楷体" w:hAnsi="楷体" w:eastAsia="楷体"/>
          <w:color w:val="000000"/>
          <w:sz w:val="24"/>
        </w:rPr>
      </w:pPr>
    </w:p>
    <w:p w14:paraId="7F69BE1B">
      <w:pPr>
        <w:tabs>
          <w:tab w:val="left" w:pos="6096"/>
        </w:tabs>
        <w:spacing w:line="360" w:lineRule="auto"/>
        <w:rPr>
          <w:rFonts w:ascii="楷体" w:hAnsi="楷体" w:eastAsia="楷体"/>
          <w:color w:val="000000"/>
          <w:sz w:val="24"/>
        </w:rPr>
      </w:pPr>
      <w:r>
        <w:rPr>
          <w:rFonts w:ascii="楷体" w:hAnsi="楷体" w:eastAsia="楷体"/>
          <w:b/>
          <w:color w:val="000000"/>
          <w:sz w:val="24"/>
        </w:rPr>
        <w:t>基金管理人：</w:t>
      </w:r>
      <w:r>
        <w:rPr>
          <w:rFonts w:hint="eastAsia" w:ascii="楷体" w:hAnsi="楷体" w:eastAsia="楷体"/>
          <w:color w:val="000000"/>
          <w:sz w:val="24"/>
        </w:rPr>
        <w:t>安合融信（青岛）私募基金管理有限公司</w:t>
      </w:r>
      <w:r>
        <w:rPr>
          <w:rFonts w:ascii="楷体" w:hAnsi="楷体" w:eastAsia="楷体"/>
          <w:color w:val="000000"/>
          <w:sz w:val="24"/>
        </w:rPr>
        <w:t>（</w:t>
      </w:r>
      <w:r>
        <w:rPr>
          <w:rFonts w:hint="eastAsia" w:ascii="楷体" w:hAnsi="楷体" w:eastAsia="楷体"/>
          <w:color w:val="000000"/>
          <w:sz w:val="24"/>
        </w:rPr>
        <w:t>签章</w:t>
      </w:r>
      <w:r>
        <w:rPr>
          <w:rFonts w:ascii="楷体" w:hAnsi="楷体" w:eastAsia="楷体"/>
          <w:color w:val="000000"/>
          <w:sz w:val="24"/>
        </w:rPr>
        <w:t>）</w:t>
      </w:r>
    </w:p>
    <w:p w14:paraId="16AF1277">
      <w:pPr>
        <w:tabs>
          <w:tab w:val="left" w:pos="6096"/>
        </w:tabs>
        <w:spacing w:line="360" w:lineRule="auto"/>
        <w:ind w:firstLine="480"/>
        <w:rPr>
          <w:rFonts w:ascii="楷体" w:hAnsi="楷体" w:eastAsia="楷体"/>
          <w:color w:val="000000"/>
          <w:sz w:val="24"/>
        </w:rPr>
      </w:pPr>
    </w:p>
    <w:p w14:paraId="55640E0F">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7A7C4371">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0C3438C5">
      <w:pPr>
        <w:tabs>
          <w:tab w:val="left" w:pos="6096"/>
        </w:tabs>
        <w:spacing w:line="360" w:lineRule="auto"/>
        <w:ind w:firstLine="480"/>
        <w:rPr>
          <w:rFonts w:ascii="楷体" w:hAnsi="楷体" w:eastAsia="楷体"/>
          <w:color w:val="000000"/>
          <w:sz w:val="24"/>
        </w:rPr>
      </w:pPr>
    </w:p>
    <w:p w14:paraId="4A7294A3">
      <w:pPr>
        <w:tabs>
          <w:tab w:val="left" w:pos="6096"/>
        </w:tabs>
        <w:spacing w:line="360" w:lineRule="auto"/>
        <w:ind w:firstLine="480"/>
        <w:rPr>
          <w:rFonts w:ascii="楷体" w:hAnsi="楷体" w:eastAsia="楷体"/>
          <w:color w:val="000000"/>
          <w:sz w:val="24"/>
        </w:rPr>
      </w:pPr>
    </w:p>
    <w:p w14:paraId="28BD1E76">
      <w:pPr>
        <w:tabs>
          <w:tab w:val="left" w:pos="6096"/>
        </w:tabs>
        <w:spacing w:line="360" w:lineRule="auto"/>
        <w:rPr>
          <w:rFonts w:ascii="楷体" w:hAnsi="楷体" w:eastAsia="楷体"/>
          <w:color w:val="000000"/>
          <w:sz w:val="24"/>
        </w:rPr>
      </w:pPr>
      <w:r>
        <w:rPr>
          <w:rFonts w:ascii="楷体" w:hAnsi="楷体" w:eastAsia="楷体"/>
          <w:b/>
          <w:color w:val="000000"/>
          <w:sz w:val="24"/>
        </w:rPr>
        <w:t>基金托管人：</w:t>
      </w:r>
      <w:r>
        <w:rPr>
          <w:rFonts w:ascii="楷体" w:hAnsi="楷体" w:eastAsia="楷体"/>
          <w:color w:val="000000"/>
          <w:sz w:val="24"/>
        </w:rPr>
        <w:t>华泰证券股份有限公司（</w:t>
      </w:r>
      <w:r>
        <w:rPr>
          <w:rFonts w:hint="eastAsia" w:ascii="楷体" w:hAnsi="楷体" w:eastAsia="楷体"/>
          <w:color w:val="000000"/>
          <w:sz w:val="24"/>
        </w:rPr>
        <w:t>签章</w:t>
      </w:r>
      <w:r>
        <w:rPr>
          <w:rFonts w:ascii="楷体" w:hAnsi="楷体" w:eastAsia="楷体"/>
          <w:color w:val="000000"/>
          <w:sz w:val="24"/>
        </w:rPr>
        <w:t>）</w:t>
      </w:r>
    </w:p>
    <w:p w14:paraId="7A466842">
      <w:pPr>
        <w:tabs>
          <w:tab w:val="left" w:pos="6096"/>
        </w:tabs>
        <w:spacing w:line="360" w:lineRule="auto"/>
        <w:ind w:firstLine="480"/>
        <w:rPr>
          <w:rFonts w:ascii="楷体" w:hAnsi="楷体" w:eastAsia="楷体"/>
          <w:color w:val="000000"/>
          <w:sz w:val="24"/>
        </w:rPr>
      </w:pPr>
    </w:p>
    <w:p w14:paraId="7A1AB28B">
      <w:pPr>
        <w:tabs>
          <w:tab w:val="left" w:pos="6096"/>
        </w:tabs>
        <w:spacing w:line="360" w:lineRule="auto"/>
        <w:ind w:firstLine="480"/>
        <w:rPr>
          <w:rFonts w:ascii="楷体" w:hAnsi="楷体" w:eastAsia="楷体"/>
          <w:color w:val="000000"/>
          <w:sz w:val="24"/>
        </w:rPr>
      </w:pPr>
    </w:p>
    <w:p w14:paraId="6D408763">
      <w:pPr>
        <w:tabs>
          <w:tab w:val="left" w:pos="6096"/>
        </w:tabs>
        <w:spacing w:line="360" w:lineRule="auto"/>
        <w:rPr>
          <w:rFonts w:ascii="楷体" w:hAnsi="楷体" w:eastAsia="楷体"/>
          <w:color w:val="000000"/>
          <w:sz w:val="24"/>
        </w:rPr>
      </w:pPr>
      <w:r>
        <w:rPr>
          <w:rFonts w:ascii="楷体" w:hAnsi="楷体" w:eastAsia="楷体"/>
          <w:color w:val="000000"/>
          <w:sz w:val="24"/>
        </w:rPr>
        <w:t>法定代表人或</w:t>
      </w:r>
      <w:r>
        <w:rPr>
          <w:rFonts w:hint="eastAsia" w:ascii="楷体" w:hAnsi="楷体" w:eastAsia="楷体"/>
          <w:color w:val="000000"/>
          <w:sz w:val="24"/>
        </w:rPr>
        <w:t>授权代理人</w:t>
      </w:r>
      <w:r>
        <w:rPr>
          <w:rFonts w:ascii="楷体" w:hAnsi="楷体" w:eastAsia="楷体"/>
          <w:color w:val="000000"/>
          <w:sz w:val="24"/>
        </w:rPr>
        <w:t>：</w:t>
      </w:r>
    </w:p>
    <w:p w14:paraId="5F96DBC5">
      <w:pPr>
        <w:tabs>
          <w:tab w:val="left" w:pos="6096"/>
        </w:tabs>
        <w:spacing w:line="360" w:lineRule="auto"/>
        <w:ind w:firstLine="480"/>
        <w:rPr>
          <w:rFonts w:ascii="楷体" w:hAnsi="楷体" w:eastAsia="楷体"/>
          <w:color w:val="000000"/>
          <w:sz w:val="24"/>
        </w:rPr>
      </w:pPr>
    </w:p>
    <w:p w14:paraId="397A09AE">
      <w:pPr>
        <w:tabs>
          <w:tab w:val="left" w:pos="6096"/>
        </w:tabs>
        <w:spacing w:line="360" w:lineRule="auto"/>
        <w:ind w:firstLine="480"/>
        <w:rPr>
          <w:rFonts w:ascii="楷体" w:hAnsi="楷体" w:eastAsia="楷体"/>
          <w:color w:val="000000"/>
          <w:sz w:val="24"/>
        </w:rPr>
      </w:pPr>
    </w:p>
    <w:p w14:paraId="19D22E62">
      <w:pPr>
        <w:tabs>
          <w:tab w:val="left" w:pos="6096"/>
        </w:tabs>
        <w:spacing w:line="360" w:lineRule="auto"/>
        <w:rPr>
          <w:rFonts w:ascii="楷体" w:hAnsi="楷体" w:eastAsia="楷体"/>
          <w:color w:val="000000"/>
          <w:sz w:val="24"/>
        </w:rPr>
      </w:pPr>
      <w:r>
        <w:rPr>
          <w:rFonts w:ascii="楷体" w:hAnsi="楷体" w:eastAsia="楷体"/>
          <w:color w:val="000000"/>
          <w:sz w:val="24"/>
        </w:rPr>
        <w:t>签署日期：</w:t>
      </w:r>
      <w:r>
        <w:rPr>
          <w:rFonts w:hint="eastAsia" w:ascii="楷体" w:hAnsi="楷体" w:eastAsia="楷体"/>
          <w:color w:val="000000"/>
          <w:sz w:val="24"/>
        </w:rPr>
        <w:t xml:space="preserve">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2F4A14BC">
      <w:pPr>
        <w:spacing w:line="360" w:lineRule="auto"/>
        <w:rPr>
          <w:rFonts w:ascii="楷体" w:hAnsi="楷体" w:eastAsia="楷体"/>
          <w:color w:val="000000"/>
          <w:sz w:val="24"/>
        </w:rPr>
      </w:pPr>
    </w:p>
    <w:p w14:paraId="480A2D70">
      <w:pPr>
        <w:rPr>
          <w:rFonts w:ascii="楷体" w:hAnsi="楷体" w:eastAsia="楷体"/>
          <w:b/>
          <w:color w:val="000000"/>
        </w:rPr>
      </w:pPr>
      <w:r>
        <w:rPr>
          <w:rFonts w:ascii="楷体" w:hAnsi="楷体" w:eastAsia="楷体"/>
          <w:color w:val="000000"/>
        </w:rPr>
        <w:br w:type="page"/>
      </w:r>
      <w:r>
        <w:rPr>
          <w:rFonts w:ascii="楷体" w:hAnsi="楷体" w:eastAsia="楷体"/>
          <w:b/>
          <w:color w:val="000000"/>
          <w:sz w:val="28"/>
          <w:szCs w:val="28"/>
        </w:rPr>
        <w:t>附件</w:t>
      </w:r>
      <w:r>
        <w:rPr>
          <w:rFonts w:hint="eastAsia" w:ascii="楷体" w:hAnsi="楷体" w:eastAsia="楷体"/>
          <w:b/>
          <w:color w:val="000000"/>
          <w:sz w:val="28"/>
          <w:szCs w:val="28"/>
        </w:rPr>
        <w:t>一</w:t>
      </w:r>
      <w:r>
        <w:rPr>
          <w:rFonts w:ascii="楷体" w:hAnsi="楷体" w:eastAsia="楷体"/>
          <w:b/>
          <w:color w:val="000000"/>
          <w:sz w:val="28"/>
          <w:szCs w:val="28"/>
        </w:rPr>
        <w:t>：</w:t>
      </w:r>
    </w:p>
    <w:p w14:paraId="497E03EB">
      <w:pPr>
        <w:rPr>
          <w:rFonts w:ascii="楷体" w:hAnsi="楷体" w:eastAsia="楷体"/>
          <w:color w:val="000000"/>
        </w:rPr>
      </w:pPr>
    </w:p>
    <w:p w14:paraId="02692D3C">
      <w:pPr>
        <w:jc w:val="center"/>
        <w:rPr>
          <w:rFonts w:ascii="楷体" w:hAnsi="楷体" w:eastAsia="楷体"/>
          <w:b/>
          <w:color w:val="000000"/>
          <w:sz w:val="28"/>
          <w:szCs w:val="28"/>
        </w:rPr>
      </w:pPr>
      <w:r>
        <w:rPr>
          <w:rFonts w:ascii="楷体" w:hAnsi="楷体" w:eastAsia="楷体"/>
          <w:b/>
          <w:color w:val="000000"/>
          <w:sz w:val="28"/>
          <w:szCs w:val="28"/>
        </w:rPr>
        <w:t>关于《**基金合同补充协议（X）》</w:t>
      </w:r>
    </w:p>
    <w:p w14:paraId="17F908A1">
      <w:pPr>
        <w:jc w:val="center"/>
        <w:rPr>
          <w:rFonts w:ascii="楷体" w:hAnsi="楷体" w:eastAsia="楷体"/>
          <w:b/>
          <w:color w:val="000000"/>
          <w:sz w:val="28"/>
          <w:szCs w:val="28"/>
        </w:rPr>
      </w:pPr>
      <w:r>
        <w:rPr>
          <w:rFonts w:ascii="楷体" w:hAnsi="楷体" w:eastAsia="楷体"/>
          <w:b/>
          <w:color w:val="000000"/>
          <w:sz w:val="28"/>
          <w:szCs w:val="28"/>
        </w:rPr>
        <w:t>生效</w:t>
      </w:r>
      <w:r>
        <w:rPr>
          <w:rFonts w:hint="eastAsia" w:ascii="楷体" w:hAnsi="楷体" w:eastAsia="楷体"/>
          <w:b/>
          <w:color w:val="000000"/>
          <w:sz w:val="28"/>
          <w:szCs w:val="28"/>
        </w:rPr>
        <w:t>通知（样本）</w:t>
      </w:r>
    </w:p>
    <w:p w14:paraId="47CCB3F3">
      <w:pPr>
        <w:rPr>
          <w:rFonts w:ascii="楷体" w:hAnsi="楷体" w:eastAsia="楷体"/>
          <w:color w:val="000000"/>
        </w:rPr>
      </w:pPr>
    </w:p>
    <w:p w14:paraId="1320493F">
      <w:pPr>
        <w:rPr>
          <w:rFonts w:ascii="楷体" w:hAnsi="楷体" w:eastAsia="楷体"/>
          <w:b/>
          <w:color w:val="000000"/>
          <w:sz w:val="28"/>
          <w:szCs w:val="28"/>
        </w:rPr>
      </w:pPr>
      <w:r>
        <w:rPr>
          <w:rFonts w:ascii="楷体" w:hAnsi="楷体" w:eastAsia="楷体"/>
          <w:b/>
          <w:color w:val="000000"/>
          <w:sz w:val="28"/>
          <w:szCs w:val="28"/>
        </w:rPr>
        <w:t>华泰证券股份有限公司：</w:t>
      </w:r>
    </w:p>
    <w:p w14:paraId="58A6B2CD">
      <w:pPr>
        <w:spacing w:line="360" w:lineRule="auto"/>
        <w:ind w:firstLine="42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w:t>
      </w:r>
      <w:r>
        <w:rPr>
          <w:rFonts w:ascii="楷体" w:hAnsi="楷体" w:eastAsia="楷体"/>
          <w:color w:val="000000"/>
          <w:sz w:val="24"/>
          <w:szCs w:val="24"/>
        </w:rPr>
        <w:t>基金合同补充协议</w:t>
      </w:r>
      <w:r>
        <w:rPr>
          <w:rFonts w:hint="eastAsia" w:ascii="楷体" w:hAnsi="楷体" w:eastAsia="楷体"/>
          <w:color w:val="000000"/>
          <w:sz w:val="24"/>
          <w:szCs w:val="24"/>
        </w:rPr>
        <w:t>（X）</w:t>
      </w:r>
      <w:r>
        <w:rPr>
          <w:rFonts w:ascii="楷体" w:hAnsi="楷体" w:eastAsia="楷体"/>
          <w:color w:val="000000"/>
          <w:sz w:val="24"/>
          <w:szCs w:val="24"/>
        </w:rPr>
        <w:t>》（以下简称“本</w:t>
      </w:r>
      <w:r>
        <w:rPr>
          <w:rFonts w:hint="eastAsia" w:ascii="楷体" w:hAnsi="楷体" w:eastAsia="楷体"/>
          <w:color w:val="000000"/>
          <w:sz w:val="24"/>
          <w:szCs w:val="24"/>
        </w:rPr>
        <w:t>补充</w:t>
      </w:r>
      <w:r>
        <w:rPr>
          <w:rFonts w:ascii="楷体" w:hAnsi="楷体" w:eastAsia="楷体"/>
          <w:color w:val="000000"/>
          <w:sz w:val="24"/>
          <w:szCs w:val="24"/>
        </w:rPr>
        <w:t>协议”）</w:t>
      </w:r>
      <w:r>
        <w:rPr>
          <w:rFonts w:hint="eastAsia" w:ascii="楷体" w:hAnsi="楷体" w:eastAsia="楷体"/>
          <w:color w:val="000000"/>
          <w:sz w:val="24"/>
          <w:szCs w:val="24"/>
        </w:rPr>
        <w:t>涉及的全体基金份额持有人、基金管理人、基金托管人</w:t>
      </w:r>
      <w:r>
        <w:rPr>
          <w:rFonts w:ascii="楷体" w:hAnsi="楷体" w:eastAsia="楷体"/>
          <w:color w:val="000000"/>
          <w:sz w:val="24"/>
          <w:szCs w:val="24"/>
        </w:rPr>
        <w:t>均已完成签署</w:t>
      </w:r>
      <w:r>
        <w:rPr>
          <w:rFonts w:hint="eastAsia" w:ascii="楷体" w:hAnsi="楷体" w:eastAsia="楷体"/>
          <w:color w:val="000000"/>
          <w:sz w:val="24"/>
          <w:szCs w:val="24"/>
        </w:rPr>
        <w:t>。经我公司审核确认，全体基</w:t>
      </w:r>
      <w:r>
        <w:rPr>
          <w:rFonts w:ascii="楷体" w:hAnsi="楷体" w:eastAsia="楷体"/>
          <w:color w:val="000000"/>
          <w:sz w:val="24"/>
          <w:szCs w:val="24"/>
        </w:rPr>
        <w:t>金份额持有人的签章</w:t>
      </w:r>
      <w:r>
        <w:rPr>
          <w:rFonts w:hint="eastAsia" w:ascii="楷体" w:hAnsi="楷体" w:eastAsia="楷体"/>
          <w:color w:val="000000"/>
          <w:sz w:val="24"/>
          <w:szCs w:val="24"/>
        </w:rPr>
        <w:t>均</w:t>
      </w:r>
      <w:r>
        <w:rPr>
          <w:rFonts w:ascii="楷体" w:hAnsi="楷体" w:eastAsia="楷体"/>
          <w:color w:val="000000"/>
          <w:sz w:val="24"/>
          <w:szCs w:val="24"/>
        </w:rPr>
        <w:t>真实、</w:t>
      </w:r>
      <w:r>
        <w:rPr>
          <w:rFonts w:hint="eastAsia" w:ascii="楷体" w:hAnsi="楷体" w:eastAsia="楷体"/>
          <w:color w:val="000000"/>
          <w:sz w:val="24"/>
          <w:szCs w:val="24"/>
        </w:rPr>
        <w:t>完整、准确、</w:t>
      </w:r>
      <w:r>
        <w:rPr>
          <w:rFonts w:ascii="楷体" w:hAnsi="楷体" w:eastAsia="楷体"/>
          <w:color w:val="000000"/>
          <w:sz w:val="24"/>
          <w:szCs w:val="24"/>
        </w:rPr>
        <w:t>有效</w:t>
      </w:r>
      <w:r>
        <w:rPr>
          <w:rFonts w:hint="eastAsia" w:ascii="楷体" w:hAnsi="楷体" w:eastAsia="楷体"/>
          <w:color w:val="000000"/>
          <w:sz w:val="24"/>
          <w:szCs w:val="24"/>
        </w:rPr>
        <w:t>，签署过程合法合规，我公司就本补充协议生效日已通知全体基金份额持有人</w:t>
      </w:r>
      <w:r>
        <w:rPr>
          <w:rFonts w:ascii="楷体" w:hAnsi="楷体" w:eastAsia="楷体"/>
          <w:color w:val="000000"/>
          <w:sz w:val="24"/>
          <w:szCs w:val="24"/>
        </w:rPr>
        <w:t>。</w:t>
      </w:r>
      <w:r>
        <w:rPr>
          <w:rFonts w:hint="eastAsia" w:ascii="楷体" w:hAnsi="楷体" w:eastAsia="楷体"/>
          <w:color w:val="000000"/>
          <w:sz w:val="24"/>
          <w:szCs w:val="24"/>
        </w:rPr>
        <w:t>本补充协议的生效日为【】年【】月【】日。</w:t>
      </w:r>
    </w:p>
    <w:p w14:paraId="0E26562A">
      <w:pPr>
        <w:spacing w:line="360" w:lineRule="auto"/>
        <w:ind w:firstLine="420"/>
        <w:rPr>
          <w:rFonts w:ascii="楷体" w:hAnsi="楷体" w:eastAsia="楷体"/>
          <w:color w:val="000000"/>
          <w:sz w:val="24"/>
          <w:szCs w:val="24"/>
        </w:rPr>
      </w:pPr>
      <w:r>
        <w:rPr>
          <w:rFonts w:hint="eastAsia" w:ascii="楷体" w:hAnsi="楷体" w:eastAsia="楷体"/>
          <w:color w:val="000000"/>
          <w:sz w:val="24"/>
          <w:szCs w:val="24"/>
        </w:rPr>
        <w:t>本补充协议以纸质方式签署的，由基金</w:t>
      </w:r>
      <w:r>
        <w:rPr>
          <w:rFonts w:ascii="楷体" w:hAnsi="楷体" w:eastAsia="楷体"/>
          <w:color w:val="000000"/>
          <w:sz w:val="24"/>
          <w:szCs w:val="24"/>
        </w:rPr>
        <w:t>托管人留存</w:t>
      </w:r>
      <w:r>
        <w:rPr>
          <w:rFonts w:hint="eastAsia" w:ascii="楷体" w:hAnsi="楷体" w:eastAsia="楷体"/>
          <w:color w:val="000000"/>
          <w:sz w:val="24"/>
          <w:szCs w:val="24"/>
        </w:rPr>
        <w:t>的各方签署完成的本补充协议原件一份</w:t>
      </w:r>
      <w:r>
        <w:rPr>
          <w:rFonts w:ascii="楷体" w:hAnsi="楷体" w:eastAsia="楷体"/>
          <w:color w:val="000000"/>
          <w:sz w:val="24"/>
          <w:szCs w:val="24"/>
        </w:rPr>
        <w:t>已寄往贵司</w:t>
      </w:r>
      <w:r>
        <w:rPr>
          <w:rFonts w:hint="eastAsia" w:ascii="楷体" w:hAnsi="楷体" w:eastAsia="楷体"/>
          <w:color w:val="000000"/>
          <w:sz w:val="24"/>
          <w:szCs w:val="24"/>
        </w:rPr>
        <w:t>,</w:t>
      </w:r>
      <w:r>
        <w:rPr>
          <w:rFonts w:ascii="楷体" w:hAnsi="楷体" w:eastAsia="楷体"/>
          <w:color w:val="000000"/>
          <w:sz w:val="24"/>
          <w:szCs w:val="24"/>
        </w:rPr>
        <w:t>快递</w:t>
      </w:r>
      <w:r>
        <w:rPr>
          <w:rFonts w:hint="eastAsia" w:ascii="楷体" w:hAnsi="楷体" w:eastAsia="楷体"/>
          <w:color w:val="000000"/>
          <w:sz w:val="24"/>
          <w:szCs w:val="24"/>
        </w:rPr>
        <w:t>公司为：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ascii="楷体" w:hAnsi="楷体" w:eastAsia="楷体"/>
          <w:color w:val="000000"/>
          <w:sz w:val="24"/>
          <w:szCs w:val="24"/>
          <w:u w:val="single"/>
        </w:rPr>
        <w:t xml:space="preserve">      </w:t>
      </w:r>
      <w:r>
        <w:rPr>
          <w:rFonts w:hint="eastAsia" w:ascii="楷体" w:hAnsi="楷体" w:eastAsia="楷体"/>
          <w:color w:val="000000"/>
          <w:sz w:val="24"/>
          <w:szCs w:val="24"/>
        </w:rPr>
        <w:t>，快递</w:t>
      </w:r>
      <w:r>
        <w:rPr>
          <w:rFonts w:ascii="楷体" w:hAnsi="楷体" w:eastAsia="楷体"/>
          <w:color w:val="000000"/>
          <w:sz w:val="24"/>
          <w:szCs w:val="24"/>
        </w:rPr>
        <w:t>单号为</w:t>
      </w:r>
      <w:r>
        <w:rPr>
          <w:rFonts w:ascii="楷体" w:hAnsi="楷体" w:eastAsia="楷体"/>
          <w:color w:val="000000"/>
          <w:sz w:val="24"/>
          <w:szCs w:val="24"/>
          <w:u w:val="single"/>
        </w:rPr>
        <w:t xml:space="preserve">                      </w:t>
      </w:r>
      <w:r>
        <w:rPr>
          <w:rFonts w:hint="eastAsia" w:ascii="楷体" w:hAnsi="楷体" w:eastAsia="楷体"/>
          <w:color w:val="000000"/>
          <w:sz w:val="24"/>
          <w:szCs w:val="24"/>
        </w:rPr>
        <w:t>；本补充协议以电子方式签署的，协议各方当事人均可于电子签署平台进行下载，电子签约平台为：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hint="eastAsia" w:ascii="楷体" w:hAnsi="楷体" w:eastAsia="楷体"/>
          <w:color w:val="000000"/>
          <w:sz w:val="24"/>
          <w:szCs w:val="24"/>
        </w:rPr>
        <w:t>。</w:t>
      </w:r>
    </w:p>
    <w:p w14:paraId="6FC44E1D">
      <w:pPr>
        <w:spacing w:line="360" w:lineRule="auto"/>
        <w:ind w:firstLine="420"/>
        <w:rPr>
          <w:rFonts w:ascii="楷体" w:hAnsi="楷体" w:eastAsia="楷体"/>
          <w:color w:val="000000"/>
          <w:sz w:val="24"/>
          <w:szCs w:val="24"/>
        </w:rPr>
      </w:pPr>
      <w:r>
        <w:rPr>
          <w:rFonts w:ascii="楷体" w:hAnsi="楷体" w:eastAsia="楷体"/>
          <w:color w:val="000000"/>
          <w:sz w:val="24"/>
          <w:szCs w:val="24"/>
        </w:rPr>
        <w:t>特此</w:t>
      </w:r>
      <w:r>
        <w:rPr>
          <w:rFonts w:hint="eastAsia" w:ascii="楷体" w:hAnsi="楷体" w:eastAsia="楷体"/>
          <w:color w:val="000000"/>
          <w:sz w:val="24"/>
          <w:szCs w:val="24"/>
        </w:rPr>
        <w:t>告知</w:t>
      </w:r>
      <w:r>
        <w:rPr>
          <w:rFonts w:ascii="楷体" w:hAnsi="楷体" w:eastAsia="楷体"/>
          <w:color w:val="000000"/>
          <w:sz w:val="24"/>
          <w:szCs w:val="24"/>
        </w:rPr>
        <w:t>！</w:t>
      </w:r>
    </w:p>
    <w:p w14:paraId="58F5ABF7">
      <w:pPr>
        <w:ind w:firstLine="420"/>
        <w:rPr>
          <w:rFonts w:ascii="楷体" w:hAnsi="楷体" w:eastAsia="楷体"/>
          <w:color w:val="000000"/>
          <w:sz w:val="28"/>
          <w:szCs w:val="28"/>
        </w:rPr>
      </w:pPr>
    </w:p>
    <w:p w14:paraId="63D2FF44">
      <w:pPr>
        <w:tabs>
          <w:tab w:val="left" w:pos="6096"/>
        </w:tabs>
        <w:spacing w:line="360" w:lineRule="auto"/>
        <w:jc w:val="right"/>
        <w:rPr>
          <w:rFonts w:ascii="楷体" w:hAnsi="楷体" w:eastAsia="楷体"/>
          <w:color w:val="000000"/>
          <w:sz w:val="24"/>
        </w:rPr>
      </w:pPr>
      <w:r>
        <w:rPr>
          <w:rFonts w:hint="eastAsia" w:ascii="楷体" w:hAnsi="楷体" w:eastAsia="楷体"/>
          <w:color w:val="000000"/>
          <w:sz w:val="24"/>
        </w:rPr>
        <w:t>管理人：【      】（公章）</w:t>
      </w:r>
    </w:p>
    <w:p w14:paraId="3097BA0E">
      <w:pPr>
        <w:ind w:right="120"/>
        <w:jc w:val="right"/>
        <w:rPr>
          <w:rFonts w:ascii="楷体" w:hAnsi="楷体" w:eastAsia="楷体"/>
          <w:color w:val="000000"/>
        </w:rPr>
      </w:pP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日期：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47C98992">
      <w:pPr>
        <w:rPr>
          <w:rFonts w:ascii="楷体" w:hAnsi="楷体" w:eastAsia="楷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5F50"/>
    <w:multiLevelType w:val="multilevel"/>
    <w:tmpl w:val="4A3E5F50"/>
    <w:lvl w:ilvl="0" w:tentative="0">
      <w:start w:val="1"/>
      <w:numFmt w:val="japaneseCounting"/>
      <w:pStyle w:val="76"/>
      <w:lvlText w:val="（%1）"/>
      <w:lvlJc w:val="left"/>
      <w:pPr>
        <w:tabs>
          <w:tab w:val="left" w:pos="900"/>
        </w:tabs>
        <w:ind w:left="90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6FE147B6"/>
    <w:multiLevelType w:val="singleLevel"/>
    <w:tmpl w:val="6FE147B6"/>
    <w:lvl w:ilvl="0" w:tentative="0">
      <w:start w:val="1"/>
      <w:numFmt w:val="decimal"/>
      <w:pStyle w:val="78"/>
      <w:lvlText w:val="(%1)"/>
      <w:lvlJc w:val="left"/>
      <w:pPr>
        <w:tabs>
          <w:tab w:val="left" w:pos="360"/>
        </w:tabs>
        <w:ind w:left="0" w:firstLine="0"/>
      </w:pPr>
      <w:rPr>
        <w:rFonts w:hint="eastAsia"/>
      </w:rPr>
    </w:lvl>
  </w:abstractNum>
  <w:abstractNum w:abstractNumId="2">
    <w:nsid w:val="79CF4513"/>
    <w:multiLevelType w:val="multilevel"/>
    <w:tmpl w:val="79CF4513"/>
    <w:lvl w:ilvl="0" w:tentative="0">
      <w:start w:val="1"/>
      <w:numFmt w:val="japaneseCounting"/>
      <w:pStyle w:val="85"/>
      <w:lvlText w:val="（%1）"/>
      <w:lvlJc w:val="left"/>
      <w:pPr>
        <w:tabs>
          <w:tab w:val="left" w:pos="900"/>
        </w:tabs>
        <w:ind w:left="90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8"/>
    <w:rsid w:val="00050FCB"/>
    <w:rsid w:val="0008723C"/>
    <w:rsid w:val="000E4CDD"/>
    <w:rsid w:val="001B1DB0"/>
    <w:rsid w:val="00210A37"/>
    <w:rsid w:val="0028527D"/>
    <w:rsid w:val="00311089"/>
    <w:rsid w:val="003405A4"/>
    <w:rsid w:val="00351684"/>
    <w:rsid w:val="0039369F"/>
    <w:rsid w:val="003D53D8"/>
    <w:rsid w:val="004656CD"/>
    <w:rsid w:val="004A09BD"/>
    <w:rsid w:val="004A12D5"/>
    <w:rsid w:val="004E63DA"/>
    <w:rsid w:val="005011D9"/>
    <w:rsid w:val="0051043F"/>
    <w:rsid w:val="0051659C"/>
    <w:rsid w:val="00517AD9"/>
    <w:rsid w:val="00531223"/>
    <w:rsid w:val="00565545"/>
    <w:rsid w:val="00566947"/>
    <w:rsid w:val="00566D75"/>
    <w:rsid w:val="00576D3C"/>
    <w:rsid w:val="00603AB6"/>
    <w:rsid w:val="006178A4"/>
    <w:rsid w:val="00664850"/>
    <w:rsid w:val="006850B2"/>
    <w:rsid w:val="0072194A"/>
    <w:rsid w:val="0073157D"/>
    <w:rsid w:val="007561F7"/>
    <w:rsid w:val="00762661"/>
    <w:rsid w:val="00777EA0"/>
    <w:rsid w:val="00787936"/>
    <w:rsid w:val="007F12D8"/>
    <w:rsid w:val="008408AC"/>
    <w:rsid w:val="008F6518"/>
    <w:rsid w:val="00900DCD"/>
    <w:rsid w:val="00904972"/>
    <w:rsid w:val="00953A7C"/>
    <w:rsid w:val="00973983"/>
    <w:rsid w:val="00974958"/>
    <w:rsid w:val="009775F8"/>
    <w:rsid w:val="009C7EB4"/>
    <w:rsid w:val="00A17825"/>
    <w:rsid w:val="00A23025"/>
    <w:rsid w:val="00A3497B"/>
    <w:rsid w:val="00A80D47"/>
    <w:rsid w:val="00AA4DBD"/>
    <w:rsid w:val="00AA7FD0"/>
    <w:rsid w:val="00AD7D1D"/>
    <w:rsid w:val="00B0599C"/>
    <w:rsid w:val="00B67C7C"/>
    <w:rsid w:val="00B93D84"/>
    <w:rsid w:val="00BA7D9A"/>
    <w:rsid w:val="00BD6C48"/>
    <w:rsid w:val="00BF4DF5"/>
    <w:rsid w:val="00C66C25"/>
    <w:rsid w:val="00C9795A"/>
    <w:rsid w:val="00CC3B13"/>
    <w:rsid w:val="00CD7B55"/>
    <w:rsid w:val="00CE6713"/>
    <w:rsid w:val="00D01B95"/>
    <w:rsid w:val="00D12ABE"/>
    <w:rsid w:val="00DC3A6D"/>
    <w:rsid w:val="00DE15EA"/>
    <w:rsid w:val="00E030FF"/>
    <w:rsid w:val="00E4190B"/>
    <w:rsid w:val="00E95986"/>
    <w:rsid w:val="00EA3955"/>
    <w:rsid w:val="00EB1EE6"/>
    <w:rsid w:val="00EF55E8"/>
    <w:rsid w:val="00F66A18"/>
    <w:rsid w:val="00F93B7A"/>
    <w:rsid w:val="00FD4476"/>
    <w:rsid w:val="0FA90668"/>
    <w:rsid w:val="1296727F"/>
    <w:rsid w:val="1EFD0FBB"/>
    <w:rsid w:val="26292CBC"/>
    <w:rsid w:val="30522E8D"/>
    <w:rsid w:val="43EC59A3"/>
    <w:rsid w:val="73EC73FF"/>
    <w:rsid w:val="77CE5359"/>
    <w:rsid w:val="7CF3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line="360" w:lineRule="auto"/>
      <w:outlineLvl w:val="3"/>
    </w:pPr>
    <w:rPr>
      <w:rFonts w:ascii="Arial" w:hAnsi="Arial" w:eastAsia="宋体" w:cs="Times New Roman"/>
      <w:szCs w:val="20"/>
    </w:rPr>
  </w:style>
  <w:style w:type="paragraph" w:styleId="6">
    <w:name w:val="heading 5"/>
    <w:basedOn w:val="1"/>
    <w:next w:val="1"/>
    <w:link w:val="43"/>
    <w:qFormat/>
    <w:uiPriority w:val="0"/>
    <w:pPr>
      <w:keepNext/>
      <w:keepLines/>
      <w:adjustRightInd w:val="0"/>
      <w:snapToGrid w:val="0"/>
      <w:spacing w:line="360" w:lineRule="auto"/>
      <w:outlineLvl w:val="4"/>
    </w:pPr>
    <w:rPr>
      <w:rFonts w:ascii="Times New Roman" w:hAnsi="Times New Roman" w:eastAsia="宋体" w:cs="Times New Roman"/>
      <w:szCs w:val="20"/>
    </w:rPr>
  </w:style>
  <w:style w:type="paragraph" w:styleId="7">
    <w:name w:val="heading 6"/>
    <w:basedOn w:val="1"/>
    <w:next w:val="1"/>
    <w:link w:val="44"/>
    <w:qFormat/>
    <w:uiPriority w:val="0"/>
    <w:pPr>
      <w:keepNext/>
      <w:keepLines/>
      <w:spacing w:before="240" w:after="64" w:line="320" w:lineRule="auto"/>
      <w:outlineLvl w:val="5"/>
    </w:pPr>
    <w:rPr>
      <w:rFonts w:ascii="Arial" w:hAnsi="Arial" w:eastAsia="黑体" w:cs="Times New Roman"/>
      <w:b/>
      <w:sz w:val="24"/>
      <w:szCs w:val="20"/>
    </w:rPr>
  </w:style>
  <w:style w:type="paragraph" w:styleId="8">
    <w:name w:val="heading 7"/>
    <w:basedOn w:val="1"/>
    <w:next w:val="1"/>
    <w:link w:val="4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46"/>
    <w:qFormat/>
    <w:uiPriority w:val="0"/>
    <w:pPr>
      <w:keepNext/>
      <w:keepLines/>
      <w:spacing w:before="240" w:after="64" w:line="320" w:lineRule="auto"/>
      <w:outlineLvl w:val="7"/>
    </w:pPr>
    <w:rPr>
      <w:rFonts w:ascii="Arial" w:hAnsi="Arial" w:eastAsia="黑体" w:cs="Times New Roman"/>
      <w:sz w:val="24"/>
      <w:szCs w:val="20"/>
    </w:rPr>
  </w:style>
  <w:style w:type="paragraph" w:styleId="10">
    <w:name w:val="heading 9"/>
    <w:basedOn w:val="1"/>
    <w:next w:val="1"/>
    <w:link w:val="47"/>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6"/>
    <w:qFormat/>
    <w:uiPriority w:val="0"/>
    <w:rPr>
      <w:rFonts w:ascii="宋体"/>
      <w:sz w:val="18"/>
      <w:szCs w:val="18"/>
    </w:rPr>
  </w:style>
  <w:style w:type="paragraph" w:styleId="13">
    <w:name w:val="annotation text"/>
    <w:basedOn w:val="1"/>
    <w:link w:val="48"/>
    <w:unhideWhenUsed/>
    <w:qFormat/>
    <w:uiPriority w:val="99"/>
    <w:pPr>
      <w:jc w:val="left"/>
    </w:pPr>
    <w:rPr>
      <w:rFonts w:ascii="Calibri" w:hAnsi="Calibri" w:eastAsia="宋体" w:cs="Times New Roman"/>
    </w:rPr>
  </w:style>
  <w:style w:type="paragraph" w:styleId="14">
    <w:name w:val="Body Text"/>
    <w:basedOn w:val="1"/>
    <w:link w:val="57"/>
    <w:qFormat/>
    <w:uiPriority w:val="0"/>
    <w:pPr>
      <w:snapToGrid w:val="0"/>
      <w:spacing w:line="360" w:lineRule="auto"/>
    </w:pPr>
    <w:rPr>
      <w:rFonts w:ascii="Times New Roman" w:hAnsi="Times New Roman" w:eastAsia="宋体" w:cs="Times New Roman"/>
      <w:sz w:val="24"/>
      <w:szCs w:val="20"/>
    </w:rPr>
  </w:style>
  <w:style w:type="paragraph" w:styleId="15">
    <w:name w:val="Body Text Indent"/>
    <w:basedOn w:val="1"/>
    <w:link w:val="58"/>
    <w:qFormat/>
    <w:uiPriority w:val="0"/>
    <w:pPr>
      <w:tabs>
        <w:tab w:val="left" w:pos="0"/>
      </w:tabs>
      <w:autoSpaceDE w:val="0"/>
      <w:autoSpaceDN w:val="0"/>
      <w:adjustRightInd w:val="0"/>
      <w:spacing w:line="400" w:lineRule="exact"/>
      <w:ind w:left="683" w:leftChars="325"/>
    </w:pPr>
    <w:rPr>
      <w:rFonts w:ascii="宋体" w:hAnsi="宋体" w:eastAsia="宋体" w:cs="Times New Roman"/>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7">
    <w:name w:val="Plain Text"/>
    <w:basedOn w:val="1"/>
    <w:link w:val="59"/>
    <w:qFormat/>
    <w:uiPriority w:val="0"/>
    <w:rPr>
      <w:rFonts w:ascii="宋体" w:hAnsi="Courier New"/>
    </w:rPr>
  </w:style>
  <w:style w:type="paragraph" w:styleId="18">
    <w:name w:val="Body Text Indent 2"/>
    <w:basedOn w:val="1"/>
    <w:link w:val="60"/>
    <w:qFormat/>
    <w:uiPriority w:val="0"/>
    <w:pPr>
      <w:spacing w:line="400" w:lineRule="exact"/>
      <w:ind w:firstLine="420" w:firstLineChars="200"/>
    </w:pPr>
    <w:rPr>
      <w:rFonts w:ascii="宋体" w:hAnsi="宋体" w:eastAsia="宋体" w:cs="Times New Roman"/>
      <w:color w:val="000000"/>
      <w:szCs w:val="24"/>
    </w:rPr>
  </w:style>
  <w:style w:type="paragraph" w:styleId="19">
    <w:name w:val="Balloon Text"/>
    <w:basedOn w:val="1"/>
    <w:link w:val="49"/>
    <w:qFormat/>
    <w:uiPriority w:val="0"/>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Subtitle"/>
    <w:basedOn w:val="1"/>
    <w:next w:val="1"/>
    <w:link w:val="5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6">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jc w:val="left"/>
    </w:pPr>
    <w:rPr>
      <w:rFonts w:hint="eastAsia" w:ascii="宋体" w:hAnsi="宋体" w:eastAsia="宋体" w:cs="Times New Roman"/>
      <w:kern w:val="0"/>
      <w:sz w:val="24"/>
      <w:szCs w:val="24"/>
    </w:rPr>
  </w:style>
  <w:style w:type="paragraph" w:styleId="28">
    <w:name w:val="Title"/>
    <w:basedOn w:val="1"/>
    <w:next w:val="1"/>
    <w:link w:val="53"/>
    <w:qFormat/>
    <w:uiPriority w:val="0"/>
    <w:pPr>
      <w:spacing w:before="240" w:after="60"/>
      <w:jc w:val="center"/>
      <w:outlineLvl w:val="0"/>
    </w:pPr>
    <w:rPr>
      <w:rFonts w:eastAsia="宋体" w:asciiTheme="majorHAnsi" w:hAnsiTheme="majorHAnsi" w:cstheme="majorBidi"/>
      <w:b/>
      <w:bCs/>
      <w:sz w:val="32"/>
      <w:szCs w:val="32"/>
    </w:rPr>
  </w:style>
  <w:style w:type="paragraph" w:styleId="29">
    <w:name w:val="annotation subject"/>
    <w:basedOn w:val="13"/>
    <w:next w:val="13"/>
    <w:link w:val="54"/>
    <w:qFormat/>
    <w:uiPriority w:val="0"/>
    <w:rPr>
      <w:rFonts w:asciiTheme="minorHAnsi" w:hAnsiTheme="minorHAnsi" w:eastAsiaTheme="minorEastAsia" w:cstheme="minorBidi"/>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2"/>
    <w:link w:val="2"/>
    <w:qFormat/>
    <w:uiPriority w:val="0"/>
    <w:rPr>
      <w:b/>
      <w:bCs/>
      <w:kern w:val="44"/>
      <w:sz w:val="44"/>
      <w:szCs w:val="44"/>
    </w:rPr>
  </w:style>
  <w:style w:type="character" w:customStyle="1" w:styleId="40">
    <w:name w:val="标题 2 Char"/>
    <w:basedOn w:val="32"/>
    <w:link w:val="3"/>
    <w:qFormat/>
    <w:uiPriority w:val="0"/>
    <w:rPr>
      <w:rFonts w:asciiTheme="majorHAnsi" w:hAnsiTheme="majorHAnsi" w:eastAsiaTheme="majorEastAsia" w:cstheme="majorBidi"/>
      <w:b/>
      <w:bCs/>
      <w:sz w:val="32"/>
      <w:szCs w:val="32"/>
    </w:rPr>
  </w:style>
  <w:style w:type="character" w:customStyle="1" w:styleId="41">
    <w:name w:val="标题 3 Char"/>
    <w:basedOn w:val="32"/>
    <w:link w:val="4"/>
    <w:qFormat/>
    <w:uiPriority w:val="0"/>
    <w:rPr>
      <w:b/>
      <w:bCs/>
      <w:sz w:val="32"/>
      <w:szCs w:val="32"/>
    </w:rPr>
  </w:style>
  <w:style w:type="character" w:customStyle="1" w:styleId="42">
    <w:name w:val="标题 4 Char"/>
    <w:basedOn w:val="32"/>
    <w:link w:val="5"/>
    <w:qFormat/>
    <w:uiPriority w:val="0"/>
    <w:rPr>
      <w:rFonts w:ascii="Arial" w:hAnsi="Arial" w:eastAsia="宋体" w:cs="Times New Roman"/>
      <w:szCs w:val="20"/>
    </w:rPr>
  </w:style>
  <w:style w:type="character" w:customStyle="1" w:styleId="43">
    <w:name w:val="标题 5 Char"/>
    <w:basedOn w:val="32"/>
    <w:link w:val="6"/>
    <w:qFormat/>
    <w:uiPriority w:val="0"/>
    <w:rPr>
      <w:rFonts w:ascii="Times New Roman" w:hAnsi="Times New Roman" w:eastAsia="宋体" w:cs="Times New Roman"/>
      <w:szCs w:val="20"/>
    </w:rPr>
  </w:style>
  <w:style w:type="character" w:customStyle="1" w:styleId="44">
    <w:name w:val="标题 6 Char"/>
    <w:basedOn w:val="32"/>
    <w:link w:val="7"/>
    <w:qFormat/>
    <w:uiPriority w:val="0"/>
    <w:rPr>
      <w:rFonts w:ascii="Arial" w:hAnsi="Arial" w:eastAsia="黑体" w:cs="Times New Roman"/>
      <w:b/>
      <w:sz w:val="24"/>
      <w:szCs w:val="20"/>
    </w:rPr>
  </w:style>
  <w:style w:type="character" w:customStyle="1" w:styleId="45">
    <w:name w:val="标题 7 Char"/>
    <w:basedOn w:val="32"/>
    <w:link w:val="8"/>
    <w:qFormat/>
    <w:uiPriority w:val="0"/>
    <w:rPr>
      <w:rFonts w:ascii="Times New Roman" w:hAnsi="Times New Roman" w:eastAsia="宋体" w:cs="Times New Roman"/>
      <w:b/>
      <w:sz w:val="24"/>
      <w:szCs w:val="20"/>
    </w:rPr>
  </w:style>
  <w:style w:type="character" w:customStyle="1" w:styleId="46">
    <w:name w:val="标题 8 Char"/>
    <w:basedOn w:val="32"/>
    <w:link w:val="9"/>
    <w:qFormat/>
    <w:uiPriority w:val="0"/>
    <w:rPr>
      <w:rFonts w:ascii="Arial" w:hAnsi="Arial" w:eastAsia="黑体" w:cs="Times New Roman"/>
      <w:sz w:val="24"/>
      <w:szCs w:val="20"/>
    </w:rPr>
  </w:style>
  <w:style w:type="character" w:customStyle="1" w:styleId="47">
    <w:name w:val="标题 9 Char"/>
    <w:basedOn w:val="32"/>
    <w:link w:val="10"/>
    <w:qFormat/>
    <w:uiPriority w:val="0"/>
    <w:rPr>
      <w:rFonts w:ascii="Arial" w:hAnsi="Arial" w:eastAsia="黑体" w:cs="Times New Roman"/>
      <w:szCs w:val="20"/>
    </w:rPr>
  </w:style>
  <w:style w:type="character" w:customStyle="1" w:styleId="48">
    <w:name w:val="批注文字 Char"/>
    <w:basedOn w:val="32"/>
    <w:link w:val="13"/>
    <w:qFormat/>
    <w:uiPriority w:val="99"/>
    <w:rPr>
      <w:rFonts w:ascii="Calibri" w:hAnsi="Calibri" w:eastAsia="宋体" w:cs="Times New Roman"/>
    </w:rPr>
  </w:style>
  <w:style w:type="character" w:customStyle="1" w:styleId="49">
    <w:name w:val="批注框文本 Char"/>
    <w:basedOn w:val="32"/>
    <w:link w:val="19"/>
    <w:qFormat/>
    <w:uiPriority w:val="0"/>
    <w:rPr>
      <w:sz w:val="18"/>
      <w:szCs w:val="18"/>
    </w:rPr>
  </w:style>
  <w:style w:type="character" w:customStyle="1" w:styleId="50">
    <w:name w:val="页脚 Char"/>
    <w:basedOn w:val="32"/>
    <w:link w:val="20"/>
    <w:qFormat/>
    <w:uiPriority w:val="99"/>
    <w:rPr>
      <w:sz w:val="18"/>
      <w:szCs w:val="18"/>
    </w:rPr>
  </w:style>
  <w:style w:type="character" w:customStyle="1" w:styleId="51">
    <w:name w:val="页眉 Char"/>
    <w:basedOn w:val="32"/>
    <w:link w:val="21"/>
    <w:qFormat/>
    <w:uiPriority w:val="99"/>
    <w:rPr>
      <w:sz w:val="18"/>
      <w:szCs w:val="18"/>
    </w:rPr>
  </w:style>
  <w:style w:type="character" w:customStyle="1" w:styleId="52">
    <w:name w:val="副标题 Char"/>
    <w:basedOn w:val="32"/>
    <w:link w:val="23"/>
    <w:qFormat/>
    <w:uiPriority w:val="0"/>
    <w:rPr>
      <w:rFonts w:eastAsia="宋体" w:asciiTheme="majorHAnsi" w:hAnsiTheme="majorHAnsi" w:cstheme="majorBidi"/>
      <w:b/>
      <w:bCs/>
      <w:kern w:val="28"/>
      <w:sz w:val="32"/>
      <w:szCs w:val="32"/>
    </w:rPr>
  </w:style>
  <w:style w:type="character" w:customStyle="1" w:styleId="53">
    <w:name w:val="标题 Char"/>
    <w:basedOn w:val="32"/>
    <w:link w:val="28"/>
    <w:qFormat/>
    <w:uiPriority w:val="0"/>
    <w:rPr>
      <w:rFonts w:eastAsia="宋体" w:asciiTheme="majorHAnsi" w:hAnsiTheme="majorHAnsi" w:cstheme="majorBidi"/>
      <w:b/>
      <w:bCs/>
      <w:sz w:val="32"/>
      <w:szCs w:val="32"/>
    </w:rPr>
  </w:style>
  <w:style w:type="character" w:customStyle="1" w:styleId="54">
    <w:name w:val="批注主题 Char"/>
    <w:basedOn w:val="48"/>
    <w:link w:val="29"/>
    <w:qFormat/>
    <w:uiPriority w:val="0"/>
    <w:rPr>
      <w:rFonts w:ascii="Calibri" w:hAnsi="Calibri" w:eastAsia="宋体" w:cs="Times New Roman"/>
      <w:b/>
      <w:bCs/>
    </w:rPr>
  </w:style>
  <w:style w:type="paragraph" w:styleId="55">
    <w:name w:val="List Paragraph"/>
    <w:basedOn w:val="1"/>
    <w:qFormat/>
    <w:uiPriority w:val="34"/>
    <w:pPr>
      <w:ind w:firstLine="420" w:firstLineChars="200"/>
    </w:pPr>
  </w:style>
  <w:style w:type="character" w:customStyle="1" w:styleId="56">
    <w:name w:val="文档结构图 Char"/>
    <w:basedOn w:val="32"/>
    <w:link w:val="12"/>
    <w:qFormat/>
    <w:uiPriority w:val="0"/>
    <w:rPr>
      <w:rFonts w:ascii="宋体"/>
      <w:sz w:val="18"/>
      <w:szCs w:val="18"/>
    </w:rPr>
  </w:style>
  <w:style w:type="character" w:customStyle="1" w:styleId="57">
    <w:name w:val="正文文本 Char"/>
    <w:basedOn w:val="32"/>
    <w:link w:val="14"/>
    <w:qFormat/>
    <w:uiPriority w:val="0"/>
    <w:rPr>
      <w:rFonts w:ascii="Times New Roman" w:hAnsi="Times New Roman" w:eastAsia="宋体" w:cs="Times New Roman"/>
      <w:sz w:val="24"/>
      <w:szCs w:val="20"/>
    </w:rPr>
  </w:style>
  <w:style w:type="character" w:customStyle="1" w:styleId="58">
    <w:name w:val="正文文本缩进 Char"/>
    <w:basedOn w:val="32"/>
    <w:link w:val="15"/>
    <w:qFormat/>
    <w:uiPriority w:val="0"/>
    <w:rPr>
      <w:rFonts w:ascii="宋体" w:hAnsi="宋体" w:eastAsia="宋体" w:cs="Times New Roman"/>
      <w:szCs w:val="24"/>
    </w:rPr>
  </w:style>
  <w:style w:type="character" w:customStyle="1" w:styleId="59">
    <w:name w:val="纯文本 Char"/>
    <w:basedOn w:val="32"/>
    <w:link w:val="17"/>
    <w:qFormat/>
    <w:uiPriority w:val="0"/>
    <w:rPr>
      <w:rFonts w:ascii="宋体" w:hAnsi="Courier New"/>
    </w:rPr>
  </w:style>
  <w:style w:type="character" w:customStyle="1" w:styleId="60">
    <w:name w:val="正文文本缩进 2 Char"/>
    <w:basedOn w:val="32"/>
    <w:link w:val="18"/>
    <w:qFormat/>
    <w:uiPriority w:val="0"/>
    <w:rPr>
      <w:rFonts w:ascii="宋体" w:hAnsi="宋体" w:eastAsia="宋体" w:cs="Times New Roman"/>
      <w:color w:val="000000"/>
      <w:szCs w:val="24"/>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6"/>
    <w:qFormat/>
    <w:uiPriority w:val="99"/>
    <w:rPr>
      <w:rFonts w:ascii="宋体" w:hAnsi="宋体" w:eastAsia="宋体" w:cs="宋体"/>
      <w:kern w:val="0"/>
      <w:sz w:val="24"/>
      <w:szCs w:val="24"/>
    </w:rPr>
  </w:style>
  <w:style w:type="character" w:customStyle="1" w:styleId="63">
    <w:name w:val="read"/>
    <w:qFormat/>
    <w:uiPriority w:val="0"/>
  </w:style>
  <w:style w:type="character" w:customStyle="1" w:styleId="64">
    <w:name w:val="read1"/>
    <w:qFormat/>
    <w:uiPriority w:val="0"/>
    <w:rPr>
      <w:rFonts w:hint="eastAsia" w:ascii="宋体" w:hAnsi="宋体" w:eastAsia="宋体"/>
      <w:color w:val="000000"/>
      <w:u w:val="none"/>
    </w:rPr>
  </w:style>
  <w:style w:type="character" w:customStyle="1" w:styleId="65">
    <w:name w:val="tt11"/>
    <w:qFormat/>
    <w:uiPriority w:val="0"/>
    <w:rPr>
      <w:sz w:val="22"/>
      <w:szCs w:val="22"/>
    </w:rPr>
  </w:style>
  <w:style w:type="character" w:customStyle="1" w:styleId="66">
    <w:name w:val="MTDisplayEquation Char"/>
    <w:link w:val="67"/>
    <w:qFormat/>
    <w:uiPriority w:val="0"/>
    <w:rPr>
      <w:rFonts w:ascii="宋体" w:hAnsi="宋体"/>
      <w:b/>
      <w:position w:val="-12"/>
      <w:sz w:val="28"/>
      <w:szCs w:val="28"/>
    </w:rPr>
  </w:style>
  <w:style w:type="paragraph" w:customStyle="1" w:styleId="67">
    <w:name w:val="MTDisplayEquation"/>
    <w:basedOn w:val="1"/>
    <w:next w:val="1"/>
    <w:link w:val="66"/>
    <w:qFormat/>
    <w:uiPriority w:val="0"/>
    <w:pPr>
      <w:tabs>
        <w:tab w:val="center" w:pos="4160"/>
        <w:tab w:val="right" w:pos="8300"/>
      </w:tabs>
      <w:spacing w:line="360" w:lineRule="auto"/>
      <w:ind w:firstLine="562" w:firstLineChars="200"/>
    </w:pPr>
    <w:rPr>
      <w:rFonts w:ascii="宋体" w:hAnsi="宋体"/>
      <w:b/>
      <w:position w:val="-12"/>
      <w:sz w:val="28"/>
      <w:szCs w:val="28"/>
    </w:rPr>
  </w:style>
  <w:style w:type="character" w:customStyle="1" w:styleId="68">
    <w:name w:val="文档结构图 Char1"/>
    <w:basedOn w:val="32"/>
    <w:semiHidden/>
    <w:qFormat/>
    <w:uiPriority w:val="99"/>
    <w:rPr>
      <w:rFonts w:ascii="宋体" w:eastAsia="宋体"/>
      <w:sz w:val="18"/>
      <w:szCs w:val="18"/>
    </w:rPr>
  </w:style>
  <w:style w:type="character" w:customStyle="1" w:styleId="69">
    <w:name w:val="批注文字 Char1"/>
    <w:basedOn w:val="32"/>
    <w:qFormat/>
    <w:uiPriority w:val="99"/>
    <w:rPr>
      <w:rFonts w:ascii="Calibri" w:hAnsi="Calibri" w:eastAsia="宋体" w:cs="Times New Roman"/>
    </w:rPr>
  </w:style>
  <w:style w:type="paragraph" w:customStyle="1" w:styleId="70">
    <w:name w:val="正文１"/>
    <w:basedOn w:val="24"/>
    <w:qFormat/>
    <w:uiPriority w:val="0"/>
    <w:pPr>
      <w:widowControl/>
      <w:adjustRightInd w:val="0"/>
      <w:snapToGrid w:val="0"/>
      <w:spacing w:after="0" w:line="360" w:lineRule="auto"/>
      <w:ind w:left="0" w:leftChars="0" w:firstLine="200" w:firstLineChars="200"/>
    </w:pPr>
    <w:rPr>
      <w:rFonts w:ascii="Arial Narrow" w:hAnsi="Arial Narrow" w:eastAsia="仿宋_GB2312"/>
      <w:color w:val="000000"/>
      <w:kern w:val="0"/>
      <w:sz w:val="24"/>
      <w:szCs w:val="24"/>
    </w:rPr>
  </w:style>
  <w:style w:type="paragraph" w:customStyle="1" w:styleId="71">
    <w:name w:val="1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2">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73">
    <w:name w:val="纯文本 Char1"/>
    <w:basedOn w:val="32"/>
    <w:semiHidden/>
    <w:qFormat/>
    <w:uiPriority w:val="99"/>
    <w:rPr>
      <w:rFonts w:ascii="宋体" w:hAnsi="Courier New" w:eastAsia="宋体" w:cs="Courier New"/>
      <w:szCs w:val="21"/>
    </w:rPr>
  </w:style>
  <w:style w:type="paragraph" w:customStyle="1" w:styleId="74">
    <w:name w:val="默认段落字体 Para Char Char Char Char Char Char"/>
    <w:basedOn w:val="1"/>
    <w:qFormat/>
    <w:uiPriority w:val="0"/>
    <w:pPr>
      <w:tabs>
        <w:tab w:val="left" w:pos="840"/>
      </w:tabs>
      <w:ind w:left="840" w:hanging="360"/>
    </w:pPr>
    <w:rPr>
      <w:rFonts w:ascii="Times New Roman" w:hAnsi="Times New Roman" w:eastAsia="宋体" w:cs="Times New Roman"/>
      <w:sz w:val="24"/>
      <w:szCs w:val="24"/>
    </w:rPr>
  </w:style>
  <w:style w:type="paragraph" w:customStyle="1" w:styleId="75">
    <w:name w:val="Char"/>
    <w:basedOn w:val="1"/>
    <w:qFormat/>
    <w:uiPriority w:val="0"/>
    <w:rPr>
      <w:rFonts w:ascii="Times New Roman" w:hAnsi="Times New Roman" w:eastAsia="宋体" w:cs="Times New Roman"/>
      <w:szCs w:val="24"/>
    </w:rPr>
  </w:style>
  <w:style w:type="paragraph" w:customStyle="1" w:styleId="76">
    <w:name w:val="样式2"/>
    <w:basedOn w:val="1"/>
    <w:qFormat/>
    <w:uiPriority w:val="0"/>
    <w:pPr>
      <w:widowControl/>
      <w:numPr>
        <w:ilvl w:val="0"/>
        <w:numId w:val="1"/>
      </w:numPr>
      <w:spacing w:line="360" w:lineRule="auto"/>
      <w:jc w:val="left"/>
    </w:pPr>
    <w:rPr>
      <w:rFonts w:ascii="宋体" w:hAnsi="宋体" w:eastAsia="宋体" w:cs="Times New Roman"/>
      <w:kern w:val="0"/>
      <w:sz w:val="24"/>
      <w:szCs w:val="24"/>
    </w:rPr>
  </w:style>
  <w:style w:type="paragraph" w:customStyle="1" w:styleId="77">
    <w:name w:val="字元 字元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78">
    <w:name w:val="列表2"/>
    <w:basedOn w:val="1"/>
    <w:next w:val="28"/>
    <w:qFormat/>
    <w:uiPriority w:val="0"/>
    <w:pPr>
      <w:numPr>
        <w:ilvl w:val="0"/>
        <w:numId w:val="2"/>
      </w:numPr>
      <w:spacing w:line="360" w:lineRule="auto"/>
    </w:pPr>
    <w:rPr>
      <w:rFonts w:ascii="宋体" w:hAnsi="Times New Roman" w:eastAsia="宋体" w:cs="Times New Roman"/>
      <w:szCs w:val="20"/>
    </w:rPr>
  </w:style>
  <w:style w:type="paragraph" w:customStyle="1" w:styleId="79">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paragraph" w:customStyle="1" w:styleId="80">
    <w:name w:val="Char Char"/>
    <w:basedOn w:val="1"/>
    <w:qFormat/>
    <w:uiPriority w:val="0"/>
    <w:rPr>
      <w:rFonts w:ascii="Times New Roman" w:hAnsi="Times New Roman" w:eastAsia="宋体" w:cs="Times New Roman"/>
      <w:szCs w:val="24"/>
    </w:rPr>
  </w:style>
  <w:style w:type="paragraph" w:customStyle="1" w:styleId="81">
    <w:name w:val="列出段落1"/>
    <w:basedOn w:val="1"/>
    <w:qFormat/>
    <w:uiPriority w:val="34"/>
    <w:pPr>
      <w:ind w:firstLine="420" w:firstLineChars="200"/>
    </w:pPr>
    <w:rPr>
      <w:rFonts w:ascii="Calibri" w:hAnsi="Calibri" w:eastAsia="宋体" w:cs="Times New Roman"/>
      <w:szCs w:val="20"/>
    </w:rPr>
  </w:style>
  <w:style w:type="paragraph" w:customStyle="1" w:styleId="8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5"/>
    <w:basedOn w:val="27"/>
    <w:qFormat/>
    <w:uiPriority w:val="0"/>
    <w:pPr>
      <w:spacing w:line="360" w:lineRule="auto"/>
    </w:pPr>
    <w:rPr>
      <w:rFonts w:hint="default" w:ascii="Times New Roman"/>
    </w:rPr>
  </w:style>
  <w:style w:type="paragraph" w:customStyle="1" w:styleId="84">
    <w:name w:val="Char Char Char Char Char Char"/>
    <w:basedOn w:val="1"/>
    <w:qFormat/>
    <w:uiPriority w:val="0"/>
    <w:rPr>
      <w:rFonts w:ascii="Times New Roman" w:hAnsi="Times New Roman" w:eastAsia="宋体" w:cs="Times New Roman"/>
      <w:szCs w:val="24"/>
    </w:rPr>
  </w:style>
  <w:style w:type="paragraph" w:customStyle="1" w:styleId="85">
    <w:name w:val="样式4"/>
    <w:basedOn w:val="1"/>
    <w:qFormat/>
    <w:uiPriority w:val="0"/>
    <w:pPr>
      <w:widowControl/>
      <w:numPr>
        <w:ilvl w:val="0"/>
        <w:numId w:val="3"/>
      </w:numPr>
      <w:spacing w:line="360" w:lineRule="auto"/>
    </w:pPr>
    <w:rPr>
      <w:rFonts w:ascii="宋体" w:hAnsi="宋体" w:eastAsia="宋体" w:cs="Times New Roman"/>
      <w:kern w:val="0"/>
      <w:sz w:val="24"/>
      <w:szCs w:val="24"/>
    </w:rPr>
  </w:style>
  <w:style w:type="paragraph" w:customStyle="1" w:styleId="86">
    <w:name w:val="AY"/>
    <w:basedOn w:val="1"/>
    <w:link w:val="87"/>
    <w:qFormat/>
    <w:uiPriority w:val="0"/>
    <w:pPr>
      <w:spacing w:line="280" w:lineRule="atLeast"/>
      <w:ind w:left="851"/>
    </w:pPr>
    <w:rPr>
      <w:rFonts w:ascii="Arial" w:hAnsi="Arial" w:eastAsia="宋体" w:cs="Times New Roman"/>
      <w:kern w:val="0"/>
      <w:sz w:val="22"/>
      <w:szCs w:val="20"/>
      <w:lang w:val="zh-CN" w:eastAsia="en-US"/>
    </w:rPr>
  </w:style>
  <w:style w:type="character" w:customStyle="1" w:styleId="87">
    <w:name w:val="AY Char"/>
    <w:link w:val="86"/>
    <w:qFormat/>
    <w:uiPriority w:val="0"/>
    <w:rPr>
      <w:rFonts w:ascii="Arial" w:hAnsi="Arial" w:eastAsia="宋体" w:cs="Times New Roman"/>
      <w:kern w:val="0"/>
      <w:sz w:val="22"/>
      <w:szCs w:val="20"/>
      <w:lang w:val="zh-CN" w:eastAsia="en-US"/>
    </w:r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new-content-titl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1">
    <w:name w:val="批注文字 Char2"/>
    <w:semiHidden/>
    <w:qFormat/>
    <w:uiPriority w:val="99"/>
    <w:rPr>
      <w:rFonts w:ascii="Times New Roman" w:hAnsi="Times New Roman" w:eastAsia="宋体" w:cs="Times New Roman"/>
      <w:szCs w:val="24"/>
    </w:rPr>
  </w:style>
  <w:style w:type="paragraph" w:customStyle="1" w:styleId="9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HTSC</Company>
  <Pages>6</Pages>
  <Words>2367</Words>
  <Characters>2477</Characters>
  <Lines>19</Lines>
  <Paragraphs>5</Paragraphs>
  <TotalTime>0</TotalTime>
  <ScaleCrop>false</ScaleCrop>
  <LinksUpToDate>false</LinksUpToDate>
  <CharactersWithSpaces>2610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2025-03-27T08:47:00Z</dcterms:created>
  <dc:creator>014244</dc:creator>
  <cp:lastModifiedBy>chaos</cp:lastModifiedBy>
  <dcterms:modified xsi:type="dcterms:W3CDTF">2025-06-26T13:14:57Z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fileWhereFroms">
    <vt:lpwstr>PpjeLB1gRN0lwrPqMaCTkmqSU7wSDXZXC0f3v4ASKhCNbgW3Uze4C6LxsGu8NFzuqsnu9l1wuXq05vXzOn3wKmOVI9KD5lVcvE5+XjbqqruL1Kex5PfDuKQOg5o6epURpTfP/dk98wL0gSLKiNPuw//c1eLX5h+fq6Bsbvaco3AOe2KgWtW4wSKfbd+fYrvs3eR97rdk/XrbuIT0iR91O5n4zNVovYVqoTTeTwsg1f6f16wXvoq7Qln/FknWicg</vt:lpwstr>
  </property>
  <property fmtid="{D5CDD505-2E9C-101B-9397-08002B2CF9AE}" pid="4" name="ICV">
    <vt:lpwstr>5C8E5CE5AD744D41A164FB9A9C6EE05A_13</vt:lpwstr>
  </property>
</Properties>
</file>