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854B6">
      <w:pPr>
        <w:spacing w:line="360" w:lineRule="auto"/>
        <w:jc w:val="center"/>
        <w:rPr>
          <w:rFonts w:ascii="楷体" w:hAnsi="楷体" w:eastAsia="楷体"/>
          <w:b/>
          <w:color w:val="000000"/>
          <w:sz w:val="32"/>
          <w:szCs w:val="32"/>
        </w:rPr>
      </w:pPr>
      <w:bookmarkStart w:id="0" w:name="_GoBack"/>
      <w:bookmarkEnd w:id="0"/>
      <w:r>
        <w:rPr>
          <w:rFonts w:hint="eastAsia" w:ascii="楷体" w:hAnsi="楷体" w:eastAsia="楷体"/>
          <w:b/>
          <w:color w:val="000000"/>
          <w:sz w:val="32"/>
          <w:szCs w:val="32"/>
        </w:rPr>
        <w:t>安合融信匠人匠心12号私募证券投资基金基金合同补充协议（二）</w:t>
      </w:r>
    </w:p>
    <w:p w14:paraId="5F66A89A">
      <w:pPr>
        <w:spacing w:line="360" w:lineRule="auto"/>
        <w:jc w:val="center"/>
        <w:rPr>
          <w:rFonts w:ascii="楷体" w:hAnsi="楷体" w:eastAsia="楷体"/>
          <w:color w:val="000000"/>
          <w:sz w:val="32"/>
          <w:szCs w:val="32"/>
        </w:rPr>
      </w:pPr>
    </w:p>
    <w:p w14:paraId="005EF7A9">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564FCE75">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4EB043F5">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5B2BF3FB">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403BC631">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502F0FC1">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387C43AB">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123CC7D2">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40CA8ED1">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35D5C55D">
      <w:pPr>
        <w:tabs>
          <w:tab w:val="left" w:pos="5040"/>
          <w:tab w:val="left" w:pos="5220"/>
          <w:tab w:val="left" w:pos="6096"/>
        </w:tabs>
        <w:spacing w:line="300" w:lineRule="auto"/>
        <w:rPr>
          <w:rFonts w:ascii="楷体" w:hAnsi="楷体" w:eastAsia="楷体"/>
          <w:b/>
          <w:color w:val="000000"/>
          <w:sz w:val="24"/>
        </w:rPr>
      </w:pPr>
    </w:p>
    <w:p w14:paraId="650147AA">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7D273E83">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65962E29">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住所：山东省青岛市市南区宁夏路288号3号楼106室0022（集中办公区）</w:t>
      </w:r>
    </w:p>
    <w:p w14:paraId="4D75BD6D">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办公地址：山东省青岛市崂山区海尔路61号天宝国际商务中心2号楼1810号</w:t>
      </w:r>
    </w:p>
    <w:p w14:paraId="38F0D2F8">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09DA3BCE">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联系人：张倩</w:t>
      </w:r>
    </w:p>
    <w:p w14:paraId="1434FACC">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联系电话：13589281210</w:t>
      </w:r>
    </w:p>
    <w:p w14:paraId="4F8616FC">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662CA832">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5A3D8085">
      <w:pPr>
        <w:tabs>
          <w:tab w:val="left" w:pos="5040"/>
          <w:tab w:val="left" w:pos="5220"/>
          <w:tab w:val="left" w:pos="6096"/>
        </w:tabs>
        <w:rPr>
          <w:rFonts w:ascii="楷体" w:hAnsi="楷体" w:eastAsia="楷体"/>
          <w:color w:val="000000"/>
          <w:sz w:val="24"/>
        </w:rPr>
      </w:pPr>
    </w:p>
    <w:p w14:paraId="04785FE9">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19042F36">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5093DB9F">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535D34A8">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39B9FF54">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2F84FB61">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1BAC851E">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447B9150">
      <w:pPr>
        <w:tabs>
          <w:tab w:val="left" w:pos="5040"/>
          <w:tab w:val="left" w:pos="5220"/>
          <w:tab w:val="left" w:pos="6096"/>
        </w:tabs>
        <w:spacing w:line="300" w:lineRule="auto"/>
        <w:rPr>
          <w:rFonts w:ascii="楷体" w:hAnsi="楷体" w:eastAsia="楷体"/>
          <w:b/>
          <w:color w:val="000000"/>
          <w:sz w:val="24"/>
        </w:rPr>
      </w:pPr>
    </w:p>
    <w:p w14:paraId="5382737E">
      <w:pPr>
        <w:tabs>
          <w:tab w:val="left" w:pos="5040"/>
          <w:tab w:val="left" w:pos="5220"/>
          <w:tab w:val="left" w:pos="6096"/>
        </w:tabs>
        <w:spacing w:line="300" w:lineRule="auto"/>
        <w:rPr>
          <w:rFonts w:ascii="楷体" w:hAnsi="楷体" w:eastAsia="楷体"/>
          <w:b/>
          <w:color w:val="000000"/>
          <w:sz w:val="24"/>
        </w:rPr>
      </w:pPr>
    </w:p>
    <w:p w14:paraId="4E9582E9">
      <w:pPr>
        <w:tabs>
          <w:tab w:val="left" w:pos="5040"/>
          <w:tab w:val="left" w:pos="5220"/>
          <w:tab w:val="left" w:pos="6096"/>
        </w:tabs>
        <w:spacing w:line="300" w:lineRule="auto"/>
        <w:rPr>
          <w:rFonts w:ascii="楷体" w:hAnsi="楷体" w:eastAsia="楷体"/>
          <w:b/>
          <w:color w:val="000000"/>
          <w:sz w:val="24"/>
        </w:rPr>
      </w:pPr>
    </w:p>
    <w:p w14:paraId="58CC1230">
      <w:pPr>
        <w:tabs>
          <w:tab w:val="left" w:pos="5040"/>
          <w:tab w:val="left" w:pos="5220"/>
          <w:tab w:val="left" w:pos="6096"/>
        </w:tabs>
        <w:spacing w:line="300" w:lineRule="auto"/>
        <w:rPr>
          <w:rFonts w:ascii="楷体" w:hAnsi="楷体" w:eastAsia="楷体"/>
          <w:b/>
          <w:color w:val="000000"/>
          <w:sz w:val="24"/>
        </w:rPr>
      </w:pPr>
    </w:p>
    <w:p w14:paraId="27E2AAB5">
      <w:pPr>
        <w:tabs>
          <w:tab w:val="left" w:pos="5040"/>
          <w:tab w:val="left" w:pos="5220"/>
          <w:tab w:val="left" w:pos="6096"/>
        </w:tabs>
        <w:spacing w:line="300" w:lineRule="auto"/>
        <w:rPr>
          <w:rFonts w:ascii="楷体" w:hAnsi="楷体" w:eastAsia="楷体"/>
          <w:b/>
          <w:color w:val="000000"/>
          <w:sz w:val="24"/>
        </w:rPr>
      </w:pPr>
    </w:p>
    <w:p w14:paraId="3DBBB17A">
      <w:pPr>
        <w:spacing w:line="360" w:lineRule="auto"/>
        <w:ind w:firstLine="480" w:firstLineChars="200"/>
        <w:rPr>
          <w:rFonts w:ascii="楷体" w:hAnsi="楷体" w:eastAsia="楷体"/>
          <w:color w:val="000000"/>
          <w:sz w:val="24"/>
        </w:rPr>
      </w:pPr>
      <w:r>
        <w:rPr>
          <w:rFonts w:ascii="楷体" w:hAnsi="楷体" w:eastAsia="楷体"/>
          <w:color w:val="000000"/>
          <w:sz w:val="24"/>
        </w:rPr>
        <w:t>鉴于基金份额持有人、基金管理人、基金托管人三方签署了《安合融信匠人匠心12号私募证券投资基金基金合同》</w:t>
      </w:r>
      <w:r>
        <w:rPr>
          <w:rFonts w:hint="eastAsia" w:ascii="楷体" w:hAnsi="楷体" w:eastAsia="楷体" w:cs="楷体"/>
          <w:color w:val="000000"/>
          <w:sz w:val="24"/>
          <w:szCs w:val="24"/>
        </w:rPr>
        <w:t>，后续通过补充协议、公告或通知等合同变更文件进行了合同变更</w:t>
      </w:r>
      <w:r>
        <w:rPr>
          <w:rFonts w:ascii="楷体" w:hAnsi="楷体" w:eastAsia="楷体"/>
          <w:color w:val="000000"/>
          <w:sz w:val="24"/>
        </w:rPr>
        <w:t>（以下</w:t>
      </w:r>
      <w:r>
        <w:rPr>
          <w:rFonts w:hint="eastAsia" w:ascii="楷体" w:hAnsi="楷体" w:eastAsia="楷体"/>
          <w:color w:val="000000"/>
          <w:sz w:val="24"/>
        </w:rPr>
        <w:t>统</w:t>
      </w:r>
      <w:r>
        <w:rPr>
          <w:rFonts w:ascii="楷体" w:hAnsi="楷体" w:eastAsia="楷体"/>
          <w:color w:val="000000"/>
          <w:sz w:val="24"/>
        </w:rPr>
        <w:t>称“原合同”）。</w:t>
      </w:r>
      <w:r>
        <w:rPr>
          <w:rFonts w:hint="eastAsia" w:ascii="楷体" w:hAnsi="楷体" w:eastAsia="楷体" w:cs="楷体"/>
          <w:color w:val="000000"/>
          <w:sz w:val="24"/>
          <w:szCs w:val="24"/>
        </w:rPr>
        <w:t>基金管理人应当向基金份额持有人披露前述变更具体内容，如基金管理人披露变更内容不真实、不完整、不准确、不及时，托管人不承担由此产生的任何责任。</w:t>
      </w:r>
      <w:r>
        <w:rPr>
          <w:rFonts w:ascii="楷体" w:hAnsi="楷体" w:eastAsia="楷体"/>
          <w:color w:val="000000"/>
          <w:sz w:val="24"/>
        </w:rPr>
        <w:t>经友好协商，基金份额持有人、基金管理人、基金托管人三方就原合同中的相关事项达成一致意见，特订立本补充协议。</w:t>
      </w:r>
    </w:p>
    <w:p w14:paraId="64947959">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2F0037FB">
      <w:pPr>
        <w:spacing w:line="360" w:lineRule="auto"/>
        <w:ind w:firstLine="480" w:firstLineChars="200"/>
        <w:rPr>
          <w:rFonts w:ascii="楷体" w:hAnsi="楷体" w:eastAsia="楷体"/>
          <w:color w:val="000000"/>
          <w:sz w:val="24"/>
        </w:rPr>
      </w:pPr>
    </w:p>
    <w:p w14:paraId="36705A32">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67F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0F410AFB">
            <w:pPr>
              <w:jc w:val="center"/>
              <w:rPr>
                <w:rFonts w:ascii="楷体" w:hAnsi="楷体" w:eastAsia="楷体"/>
                <w:color w:val="000000"/>
                <w:szCs w:val="21"/>
              </w:rPr>
            </w:pPr>
            <w:r>
              <w:rPr>
                <w:rFonts w:hint="eastAsia" w:ascii="楷体" w:hAnsi="楷体" w:eastAsia="楷体"/>
                <w:color w:val="000000"/>
                <w:szCs w:val="21"/>
              </w:rPr>
              <w:t>章节</w:t>
            </w:r>
          </w:p>
        </w:tc>
        <w:tc>
          <w:tcPr>
            <w:tcW w:w="3119" w:type="dxa"/>
          </w:tcPr>
          <w:p w14:paraId="4D4EF85A">
            <w:pPr>
              <w:jc w:val="center"/>
              <w:rPr>
                <w:rFonts w:ascii="楷体" w:hAnsi="楷体" w:eastAsia="楷体"/>
                <w:color w:val="000000"/>
                <w:szCs w:val="21"/>
              </w:rPr>
            </w:pPr>
            <w:r>
              <w:rPr>
                <w:rFonts w:hint="eastAsia" w:ascii="楷体" w:hAnsi="楷体" w:eastAsia="楷体"/>
                <w:color w:val="000000"/>
                <w:szCs w:val="21"/>
              </w:rPr>
              <w:t>原合同内容</w:t>
            </w:r>
          </w:p>
        </w:tc>
        <w:tc>
          <w:tcPr>
            <w:tcW w:w="3602" w:type="dxa"/>
          </w:tcPr>
          <w:p w14:paraId="699A853C">
            <w:pPr>
              <w:jc w:val="center"/>
              <w:rPr>
                <w:rFonts w:ascii="楷体" w:hAnsi="楷体" w:eastAsia="楷体"/>
                <w:color w:val="000000"/>
                <w:szCs w:val="21"/>
              </w:rPr>
            </w:pPr>
            <w:r>
              <w:rPr>
                <w:rFonts w:hint="eastAsia" w:ascii="楷体" w:hAnsi="楷体" w:eastAsia="楷体"/>
                <w:color w:val="000000"/>
                <w:szCs w:val="21"/>
              </w:rPr>
              <w:t>变更后的内容</w:t>
            </w:r>
          </w:p>
        </w:tc>
      </w:tr>
      <w:tr w14:paraId="370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E3ED04F">
            <w:pPr>
              <w:jc w:val="center"/>
              <w:rPr>
                <w:rFonts w:ascii="楷体" w:hAnsi="楷体" w:eastAsia="楷体"/>
                <w:color w:val="000000"/>
                <w:szCs w:val="21"/>
              </w:rPr>
            </w:pPr>
            <w:r>
              <w:rPr>
                <w:rFonts w:hint="eastAsia" w:ascii="楷体" w:hAnsi="楷体" w:eastAsia="楷体"/>
                <w:color w:val="000000"/>
                <w:szCs w:val="21"/>
              </w:rPr>
              <w:t>十一、私募基金的投资</w:t>
            </w:r>
          </w:p>
        </w:tc>
        <w:tc>
          <w:tcPr>
            <w:tcW w:w="3119" w:type="dxa"/>
          </w:tcPr>
          <w:p w14:paraId="7ACA59B6">
            <w:pPr>
              <w:tabs>
                <w:tab w:val="left" w:pos="0"/>
                <w:tab w:val="left" w:pos="900"/>
                <w:tab w:val="left" w:pos="1620"/>
                <w:tab w:val="left" w:pos="6096"/>
              </w:tabs>
              <w:spacing w:line="360" w:lineRule="auto"/>
              <w:ind w:firstLine="420" w:firstLineChars="200"/>
              <w:jc w:val="left"/>
              <w:rPr>
                <w:rFonts w:ascii="楷体" w:hAnsi="楷体" w:eastAsia="楷体"/>
                <w:color w:val="000000"/>
                <w:szCs w:val="21"/>
              </w:rPr>
            </w:pPr>
            <w:r>
              <w:rPr>
                <w:rFonts w:ascii="楷体" w:hAnsi="楷体" w:eastAsia="楷体"/>
                <w:color w:val="000000"/>
                <w:szCs w:val="21"/>
              </w:rPr>
              <w:t>（一）本基金投资</w:t>
            </w:r>
            <w:r>
              <w:rPr>
                <w:rFonts w:hint="eastAsia" w:ascii="楷体" w:hAnsi="楷体" w:eastAsia="楷体"/>
                <w:color w:val="000000"/>
                <w:szCs w:val="21"/>
              </w:rPr>
              <w:t>事项</w:t>
            </w:r>
            <w:r>
              <w:rPr>
                <w:rFonts w:ascii="楷体" w:hAnsi="楷体" w:eastAsia="楷体"/>
                <w:color w:val="000000"/>
                <w:sz w:val="24"/>
                <w:szCs w:val="24"/>
              </w:rPr>
              <w:t xml:space="preserve"> </w:t>
            </w:r>
          </w:p>
          <w:p w14:paraId="3FE0946D">
            <w:pPr>
              <w:spacing w:line="315" w:lineRule="auto"/>
              <w:ind w:firstLine="420" w:firstLineChars="200"/>
              <w:jc w:val="left"/>
              <w:rPr>
                <w:rFonts w:ascii="楷体" w:hAnsi="楷体" w:eastAsia="楷体"/>
                <w:color w:val="000000"/>
                <w:szCs w:val="21"/>
              </w:rPr>
            </w:pPr>
            <w:r>
              <w:rPr>
                <w:rFonts w:hint="eastAsia" w:ascii="楷体" w:hAnsi="楷体" w:eastAsia="楷体"/>
                <w:color w:val="000000"/>
                <w:szCs w:val="21"/>
              </w:rPr>
              <w:t>3、投资范围</w:t>
            </w:r>
          </w:p>
          <w:p w14:paraId="25AAF670">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（1）权益类：国内依法发行上市的股票、港股通、存托凭证、股票型公募基金、REITs公募基金</w:t>
            </w:r>
          </w:p>
          <w:p w14:paraId="2ABCDC30">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（2）固定收益类：交易所债券通用质押式逆回购、债券型公募基金</w:t>
            </w:r>
          </w:p>
          <w:p w14:paraId="2A57EB71">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（3）期货和衍生品类：期货、场内期权、商品型公募基金</w:t>
            </w:r>
          </w:p>
          <w:p w14:paraId="09F004E7">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（4）其他：银行活期存款、转融通、融资融券（所属资产类别以实际持仓为准）、货币市场基金、混合型公募基金、FOF型公募基金、QDII公募基金</w:t>
            </w:r>
          </w:p>
          <w:p w14:paraId="57F8C3E5">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本基金投资于混合型公募基金、FOF型公募基金、QDII公募基金的，按照基金最新披露的定期报告确定所属持仓类别。</w:t>
            </w:r>
          </w:p>
          <w:p w14:paraId="7D8007F2">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本基金合同相关具体投资标的定义参照国家有关法律法规的规定。</w:t>
            </w:r>
          </w:p>
          <w:p w14:paraId="33BDD45D">
            <w:pPr>
              <w:jc w:val="left"/>
              <w:rPr>
                <w:rFonts w:ascii="楷体" w:hAnsi="楷体" w:eastAsia="楷体"/>
                <w:color w:val="000000"/>
                <w:szCs w:val="21"/>
              </w:rPr>
            </w:pPr>
          </w:p>
        </w:tc>
        <w:tc>
          <w:tcPr>
            <w:tcW w:w="3602" w:type="dxa"/>
          </w:tcPr>
          <w:p w14:paraId="1488BA98">
            <w:pPr>
              <w:tabs>
                <w:tab w:val="left" w:pos="0"/>
                <w:tab w:val="left" w:pos="900"/>
                <w:tab w:val="left" w:pos="1620"/>
                <w:tab w:val="left" w:pos="6096"/>
              </w:tabs>
              <w:spacing w:line="360" w:lineRule="auto"/>
              <w:ind w:firstLine="420" w:firstLineChars="200"/>
              <w:jc w:val="left"/>
              <w:rPr>
                <w:rFonts w:ascii="楷体" w:hAnsi="楷体" w:eastAsia="楷体"/>
                <w:color w:val="000000"/>
                <w:szCs w:val="21"/>
              </w:rPr>
            </w:pPr>
            <w:r>
              <w:rPr>
                <w:rFonts w:hint="eastAsia" w:ascii="楷体" w:hAnsi="楷体" w:eastAsia="楷体"/>
                <w:color w:val="000000"/>
                <w:szCs w:val="21"/>
              </w:rPr>
              <w:t>（一）本基金投资事项</w:t>
            </w:r>
            <w:r>
              <w:rPr>
                <w:rFonts w:ascii="楷体" w:hAnsi="楷体" w:eastAsia="楷体"/>
                <w:color w:val="000000"/>
                <w:sz w:val="24"/>
                <w:szCs w:val="24"/>
              </w:rPr>
              <w:t xml:space="preserve"> </w:t>
            </w:r>
          </w:p>
          <w:p w14:paraId="5C6B25A5">
            <w:pPr>
              <w:spacing w:line="315" w:lineRule="auto"/>
              <w:ind w:firstLine="420" w:firstLineChars="200"/>
              <w:jc w:val="left"/>
              <w:rPr>
                <w:rFonts w:ascii="楷体" w:hAnsi="楷体" w:eastAsia="楷体"/>
                <w:color w:val="000000"/>
                <w:szCs w:val="21"/>
              </w:rPr>
            </w:pPr>
            <w:r>
              <w:rPr>
                <w:rFonts w:hint="eastAsia" w:ascii="楷体" w:hAnsi="楷体" w:eastAsia="楷体"/>
                <w:color w:val="000000"/>
                <w:szCs w:val="21"/>
              </w:rPr>
              <w:t>3、投资范围</w:t>
            </w:r>
          </w:p>
          <w:p w14:paraId="15900F46">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（1）权益类：国内依法发行上市的股票、港股通、存托凭证、股票型公募基金、REITs公募基金</w:t>
            </w:r>
          </w:p>
          <w:p w14:paraId="52A6AC39">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（2）固定收益类：交易所债券通用质押式逆回购、债券型公募基金</w:t>
            </w:r>
          </w:p>
          <w:p w14:paraId="5F29DE99">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（3）期货和衍生品类：期货、场内期权、</w:t>
            </w:r>
            <w:r>
              <w:rPr>
                <w:rFonts w:hint="eastAsia" w:ascii="楷体" w:hAnsi="楷体" w:eastAsia="楷体"/>
                <w:b/>
                <w:bCs/>
                <w:color w:val="000000"/>
                <w:szCs w:val="21"/>
              </w:rPr>
              <w:t>上海黄金交易所交易品种</w:t>
            </w:r>
            <w:r>
              <w:rPr>
                <w:rFonts w:hint="eastAsia" w:ascii="楷体" w:hAnsi="楷体" w:eastAsia="楷体"/>
                <w:color w:val="000000"/>
                <w:szCs w:val="21"/>
              </w:rPr>
              <w:t>、商品型公募基金</w:t>
            </w:r>
          </w:p>
          <w:p w14:paraId="644D6FE4">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（4）其他：银行活期存款、转融通、融资融券（所属资产类别以实际持仓为准）、货币市场基金、混合型公募基金、FOF型公募基金、QDII公募基金</w:t>
            </w:r>
          </w:p>
          <w:p w14:paraId="3531BE23">
            <w:pPr>
              <w:tabs>
                <w:tab w:val="left" w:pos="6096"/>
              </w:tabs>
              <w:spacing w:line="360" w:lineRule="auto"/>
              <w:ind w:firstLine="420" w:firstLineChars="200"/>
              <w:rPr>
                <w:rFonts w:ascii="楷体" w:hAnsi="楷体" w:eastAsia="楷体"/>
                <w:color w:val="000000"/>
                <w:szCs w:val="21"/>
              </w:rPr>
            </w:pPr>
            <w:r>
              <w:rPr>
                <w:rFonts w:ascii="楷体" w:hAnsi="楷体" w:eastAsia="楷体"/>
                <w:color w:val="000000"/>
                <w:szCs w:val="21"/>
              </w:rPr>
              <w:t>本基金投资于混合型公募基金、FOF型公募基金、QDII公募基金的，按照基金最新披露的定期报告确定所属持仓类别。</w:t>
            </w:r>
          </w:p>
          <w:p w14:paraId="505824C6">
            <w:pPr>
              <w:spacing w:line="315" w:lineRule="auto"/>
              <w:ind w:firstLine="420" w:firstLineChars="200"/>
              <w:jc w:val="left"/>
              <w:rPr>
                <w:rFonts w:ascii="楷体" w:hAnsi="楷体" w:eastAsia="楷体"/>
                <w:color w:val="000000"/>
              </w:rPr>
            </w:pPr>
            <w:r>
              <w:rPr>
                <w:rFonts w:hint="eastAsia" w:ascii="楷体" w:hAnsi="楷体" w:eastAsia="楷体"/>
                <w:color w:val="000000"/>
                <w:szCs w:val="21"/>
              </w:rPr>
              <w:t>本基金合同相关具体投资标的定义参照国家有关法律法规的规定。</w:t>
            </w:r>
          </w:p>
          <w:p w14:paraId="09CA75A4">
            <w:pPr>
              <w:tabs>
                <w:tab w:val="left" w:pos="6096"/>
              </w:tabs>
              <w:spacing w:line="360" w:lineRule="auto"/>
              <w:ind w:firstLine="420" w:firstLineChars="200"/>
              <w:rPr>
                <w:rFonts w:ascii="楷体" w:hAnsi="楷体" w:eastAsia="楷体"/>
                <w:color w:val="000000"/>
                <w:szCs w:val="21"/>
              </w:rPr>
            </w:pPr>
          </w:p>
        </w:tc>
      </w:tr>
    </w:tbl>
    <w:p w14:paraId="76071566">
      <w:pPr>
        <w:spacing w:line="360" w:lineRule="auto"/>
        <w:ind w:firstLine="480" w:firstLineChars="200"/>
        <w:rPr>
          <w:rFonts w:ascii="楷体" w:hAnsi="楷体" w:eastAsia="楷体"/>
          <w:color w:val="000000"/>
          <w:sz w:val="24"/>
        </w:rPr>
      </w:pPr>
    </w:p>
    <w:p w14:paraId="08CCDB0D">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35FB0088">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投资于上海黄金交易所交易品种的风险包括但不限于：</w:t>
      </w:r>
    </w:p>
    <w:p w14:paraId="79502C55">
      <w:pPr>
        <w:tabs>
          <w:tab w:val="left" w:pos="1300"/>
          <w:tab w:val="left" w:pos="6096"/>
        </w:tabs>
        <w:adjustRightInd w:val="0"/>
        <w:snapToGrid w:val="0"/>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（1）因受国内国际各种政治、经济因素，以及各种突发事件的影响，黄金和白银的价格可能会发生剧烈波动。</w:t>
      </w:r>
    </w:p>
    <w:p w14:paraId="13C1AB4C">
      <w:pPr>
        <w:tabs>
          <w:tab w:val="left" w:pos="6096"/>
        </w:tabs>
        <w:topLinePunct/>
        <w:spacing w:line="360" w:lineRule="auto"/>
        <w:ind w:firstLine="482" w:firstLineChars="200"/>
        <w:rPr>
          <w:rFonts w:ascii="楷体" w:hAnsi="楷体" w:eastAsia="楷体"/>
          <w:b/>
          <w:color w:val="000000"/>
          <w:sz w:val="24"/>
          <w:szCs w:val="24"/>
        </w:rPr>
      </w:pPr>
      <w:r>
        <w:rPr>
          <w:rFonts w:hint="eastAsia" w:ascii="楷体" w:hAnsi="楷体" w:eastAsia="楷体"/>
          <w:b/>
          <w:color w:val="000000"/>
          <w:sz w:val="24"/>
          <w:szCs w:val="24"/>
        </w:rPr>
        <w:t>（2）在某个交易品种达到涨跌停板的情况下，会出现买入或卖出无法成交的可能，本基金持有的保证金可能损失殆尽且不足以弥补交易亏损。</w:t>
      </w:r>
    </w:p>
    <w:p w14:paraId="30424D6F">
      <w:pPr>
        <w:spacing w:line="360" w:lineRule="auto"/>
        <w:ind w:firstLine="482" w:firstLineChars="200"/>
        <w:rPr>
          <w:rFonts w:ascii="楷体" w:hAnsi="楷体" w:eastAsia="楷体"/>
          <w:b/>
          <w:color w:val="000000"/>
          <w:sz w:val="24"/>
        </w:rPr>
      </w:pPr>
    </w:p>
    <w:p w14:paraId="7AA164C0">
      <w:pPr>
        <w:spacing w:line="360" w:lineRule="auto"/>
        <w:ind w:firstLine="482" w:firstLineChars="200"/>
        <w:rPr>
          <w:rFonts w:ascii="楷体" w:hAnsi="楷体" w:eastAsia="楷体"/>
          <w:b/>
          <w:color w:val="000000"/>
          <w:sz w:val="24"/>
        </w:rPr>
      </w:pPr>
      <w:r>
        <w:rPr>
          <w:rFonts w:ascii="楷体" w:hAnsi="楷体" w:eastAsia="楷体"/>
          <w:b/>
          <w:color w:val="000000"/>
          <w:sz w:val="24"/>
        </w:rPr>
        <w:t>三、</w:t>
      </w:r>
      <w:r>
        <w:rPr>
          <w:rFonts w:hint="eastAsia" w:ascii="楷体" w:hAnsi="楷体" w:eastAsia="楷体"/>
          <w:b/>
          <w:color w:val="000000"/>
          <w:sz w:val="24"/>
        </w:rPr>
        <w:t>补充协议的生效</w:t>
      </w:r>
    </w:p>
    <w:p w14:paraId="1CA31A41">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3832F6DF">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163598E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21370812">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573D589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677C0EE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1D54149A">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3DA70E45">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4CDB3AFE">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1172F885">
      <w:pPr>
        <w:spacing w:line="360" w:lineRule="auto"/>
        <w:ind w:firstLine="480" w:firstLineChars="200"/>
        <w:rPr>
          <w:rFonts w:ascii="楷体" w:hAnsi="楷体" w:eastAsia="楷体"/>
          <w:color w:val="000000"/>
          <w:sz w:val="24"/>
        </w:rPr>
      </w:pPr>
    </w:p>
    <w:p w14:paraId="02B4BC6B">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6AAD0DE4">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0BFAC671">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2E9B82AB">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1EF094A4">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0E832C1A">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593F90B9">
      <w:pPr>
        <w:ind w:firstLine="480" w:firstLineChars="200"/>
        <w:rPr>
          <w:rFonts w:ascii="楷体" w:hAnsi="楷体" w:eastAsia="楷体"/>
          <w:color w:val="000000"/>
          <w:sz w:val="24"/>
        </w:rPr>
      </w:pPr>
      <w:r>
        <w:rPr>
          <w:rFonts w:ascii="楷体" w:hAnsi="楷体" w:eastAsia="楷体"/>
          <w:color w:val="000000"/>
          <w:sz w:val="24"/>
        </w:rPr>
        <w:t>（以下无正文）</w:t>
      </w:r>
    </w:p>
    <w:p w14:paraId="769FFAA5">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安合融信匠人匠心12号私募证券投资基金基金合同补充协议（二）</w:t>
      </w:r>
      <w:r>
        <w:rPr>
          <w:rFonts w:ascii="楷体" w:hAnsi="楷体" w:eastAsia="楷体"/>
          <w:color w:val="000000"/>
          <w:sz w:val="24"/>
        </w:rPr>
        <w:t>》签署页</w:t>
      </w:r>
      <w:r>
        <w:rPr>
          <w:rFonts w:hint="eastAsia" w:ascii="楷体" w:hAnsi="楷体" w:eastAsia="楷体"/>
          <w:color w:val="000000"/>
          <w:sz w:val="24"/>
        </w:rPr>
        <w:t>）</w:t>
      </w:r>
    </w:p>
    <w:p w14:paraId="725F8C4A">
      <w:pPr>
        <w:spacing w:line="360" w:lineRule="auto"/>
        <w:rPr>
          <w:rFonts w:ascii="楷体" w:hAnsi="楷体" w:eastAsia="楷体"/>
          <w:color w:val="000000"/>
          <w:sz w:val="24"/>
        </w:rPr>
      </w:pPr>
    </w:p>
    <w:p w14:paraId="5695F8EE">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527B9AA7">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6AE8CA7D">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7FAD04BC">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2B9B8CB8">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09724264">
      <w:pPr>
        <w:tabs>
          <w:tab w:val="left" w:pos="6096"/>
        </w:tabs>
        <w:spacing w:line="360" w:lineRule="auto"/>
        <w:ind w:firstLine="480"/>
        <w:rPr>
          <w:rFonts w:ascii="楷体" w:hAnsi="楷体" w:eastAsia="楷体"/>
          <w:color w:val="000000"/>
          <w:sz w:val="24"/>
        </w:rPr>
      </w:pPr>
    </w:p>
    <w:p w14:paraId="7F69BE1B">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16AF1277">
      <w:pPr>
        <w:tabs>
          <w:tab w:val="left" w:pos="6096"/>
        </w:tabs>
        <w:spacing w:line="360" w:lineRule="auto"/>
        <w:ind w:firstLine="480"/>
        <w:rPr>
          <w:rFonts w:ascii="楷体" w:hAnsi="楷体" w:eastAsia="楷体"/>
          <w:color w:val="000000"/>
          <w:sz w:val="24"/>
        </w:rPr>
      </w:pPr>
    </w:p>
    <w:p w14:paraId="55640E0F">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7A7C4371">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0C3438C5">
      <w:pPr>
        <w:tabs>
          <w:tab w:val="left" w:pos="6096"/>
        </w:tabs>
        <w:spacing w:line="360" w:lineRule="auto"/>
        <w:ind w:firstLine="480"/>
        <w:rPr>
          <w:rFonts w:ascii="楷体" w:hAnsi="楷体" w:eastAsia="楷体"/>
          <w:color w:val="000000"/>
          <w:sz w:val="24"/>
        </w:rPr>
      </w:pPr>
    </w:p>
    <w:p w14:paraId="4A7294A3">
      <w:pPr>
        <w:tabs>
          <w:tab w:val="left" w:pos="6096"/>
        </w:tabs>
        <w:spacing w:line="360" w:lineRule="auto"/>
        <w:ind w:firstLine="480"/>
        <w:rPr>
          <w:rFonts w:ascii="楷体" w:hAnsi="楷体" w:eastAsia="楷体"/>
          <w:color w:val="000000"/>
          <w:sz w:val="24"/>
        </w:rPr>
      </w:pPr>
    </w:p>
    <w:p w14:paraId="28BD1E76">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7A466842">
      <w:pPr>
        <w:tabs>
          <w:tab w:val="left" w:pos="6096"/>
        </w:tabs>
        <w:spacing w:line="360" w:lineRule="auto"/>
        <w:ind w:firstLine="480"/>
        <w:rPr>
          <w:rFonts w:ascii="楷体" w:hAnsi="楷体" w:eastAsia="楷体"/>
          <w:color w:val="000000"/>
          <w:sz w:val="24"/>
        </w:rPr>
      </w:pPr>
    </w:p>
    <w:p w14:paraId="7A1AB28B">
      <w:pPr>
        <w:tabs>
          <w:tab w:val="left" w:pos="6096"/>
        </w:tabs>
        <w:spacing w:line="360" w:lineRule="auto"/>
        <w:ind w:firstLine="480"/>
        <w:rPr>
          <w:rFonts w:ascii="楷体" w:hAnsi="楷体" w:eastAsia="楷体"/>
          <w:color w:val="000000"/>
          <w:sz w:val="24"/>
        </w:rPr>
      </w:pPr>
    </w:p>
    <w:p w14:paraId="6D408763">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5F96DBC5">
      <w:pPr>
        <w:tabs>
          <w:tab w:val="left" w:pos="6096"/>
        </w:tabs>
        <w:spacing w:line="360" w:lineRule="auto"/>
        <w:ind w:firstLine="480"/>
        <w:rPr>
          <w:rFonts w:ascii="楷体" w:hAnsi="楷体" w:eastAsia="楷体"/>
          <w:color w:val="000000"/>
          <w:sz w:val="24"/>
        </w:rPr>
      </w:pPr>
    </w:p>
    <w:p w14:paraId="397A09AE">
      <w:pPr>
        <w:tabs>
          <w:tab w:val="left" w:pos="6096"/>
        </w:tabs>
        <w:spacing w:line="360" w:lineRule="auto"/>
        <w:ind w:firstLine="480"/>
        <w:rPr>
          <w:rFonts w:ascii="楷体" w:hAnsi="楷体" w:eastAsia="楷体"/>
          <w:color w:val="000000"/>
          <w:sz w:val="24"/>
        </w:rPr>
      </w:pPr>
    </w:p>
    <w:p w14:paraId="19D22E62">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2F4A14BC">
      <w:pPr>
        <w:spacing w:line="360" w:lineRule="auto"/>
        <w:rPr>
          <w:rFonts w:ascii="楷体" w:hAnsi="楷体" w:eastAsia="楷体"/>
          <w:color w:val="000000"/>
          <w:sz w:val="24"/>
        </w:rPr>
      </w:pPr>
    </w:p>
    <w:p w14:paraId="480A2D70">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497E03EB">
      <w:pPr>
        <w:rPr>
          <w:rFonts w:ascii="楷体" w:hAnsi="楷体" w:eastAsia="楷体"/>
          <w:color w:val="000000"/>
        </w:rPr>
      </w:pPr>
    </w:p>
    <w:p w14:paraId="02692D3C">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17F908A1">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47CCB3F3">
      <w:pPr>
        <w:rPr>
          <w:rFonts w:ascii="楷体" w:hAnsi="楷体" w:eastAsia="楷体"/>
          <w:color w:val="000000"/>
        </w:rPr>
      </w:pPr>
    </w:p>
    <w:p w14:paraId="1320493F">
      <w:pPr>
        <w:rPr>
          <w:rFonts w:ascii="楷体" w:hAnsi="楷体" w:eastAsia="楷体"/>
          <w:b/>
          <w:color w:val="000000"/>
          <w:sz w:val="28"/>
          <w:szCs w:val="28"/>
        </w:rPr>
      </w:pPr>
      <w:r>
        <w:rPr>
          <w:rFonts w:ascii="楷体" w:hAnsi="楷体" w:eastAsia="楷体"/>
          <w:b/>
          <w:color w:val="000000"/>
          <w:sz w:val="28"/>
          <w:szCs w:val="28"/>
        </w:rPr>
        <w:t>华泰证券股份有限公司：</w:t>
      </w:r>
    </w:p>
    <w:p w14:paraId="58A6B2CD">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0E26562A">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6FC44E1D">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58F5ABF7">
      <w:pPr>
        <w:ind w:firstLine="420"/>
        <w:rPr>
          <w:rFonts w:ascii="楷体" w:hAnsi="楷体" w:eastAsia="楷体"/>
          <w:color w:val="000000"/>
          <w:sz w:val="28"/>
          <w:szCs w:val="28"/>
        </w:rPr>
      </w:pPr>
    </w:p>
    <w:p w14:paraId="63D2FF44">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3097BA0E">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47C98992">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8723C"/>
    <w:rsid w:val="000E4CDD"/>
    <w:rsid w:val="001B1DB0"/>
    <w:rsid w:val="00210A37"/>
    <w:rsid w:val="0028527D"/>
    <w:rsid w:val="00311089"/>
    <w:rsid w:val="003405A4"/>
    <w:rsid w:val="00351684"/>
    <w:rsid w:val="0039369F"/>
    <w:rsid w:val="003D53D8"/>
    <w:rsid w:val="004656CD"/>
    <w:rsid w:val="004A09BD"/>
    <w:rsid w:val="004A12D5"/>
    <w:rsid w:val="004E63DA"/>
    <w:rsid w:val="005011D9"/>
    <w:rsid w:val="0051043F"/>
    <w:rsid w:val="0051659C"/>
    <w:rsid w:val="00517AD9"/>
    <w:rsid w:val="00531223"/>
    <w:rsid w:val="00565545"/>
    <w:rsid w:val="00566947"/>
    <w:rsid w:val="00566D75"/>
    <w:rsid w:val="00576D3C"/>
    <w:rsid w:val="00603AB6"/>
    <w:rsid w:val="006178A4"/>
    <w:rsid w:val="00664850"/>
    <w:rsid w:val="006850B2"/>
    <w:rsid w:val="0072194A"/>
    <w:rsid w:val="0073157D"/>
    <w:rsid w:val="007561F7"/>
    <w:rsid w:val="00762661"/>
    <w:rsid w:val="00777EA0"/>
    <w:rsid w:val="00787936"/>
    <w:rsid w:val="007F12D8"/>
    <w:rsid w:val="008408AC"/>
    <w:rsid w:val="008F6518"/>
    <w:rsid w:val="00900DCD"/>
    <w:rsid w:val="00904972"/>
    <w:rsid w:val="00953A7C"/>
    <w:rsid w:val="00973983"/>
    <w:rsid w:val="00974958"/>
    <w:rsid w:val="009775F8"/>
    <w:rsid w:val="009C7EB4"/>
    <w:rsid w:val="00A17825"/>
    <w:rsid w:val="00A23025"/>
    <w:rsid w:val="00A3497B"/>
    <w:rsid w:val="00A80D47"/>
    <w:rsid w:val="00AA4DBD"/>
    <w:rsid w:val="00AA7FD0"/>
    <w:rsid w:val="00AD7D1D"/>
    <w:rsid w:val="00B0599C"/>
    <w:rsid w:val="00B67C7C"/>
    <w:rsid w:val="00B93D84"/>
    <w:rsid w:val="00BA7D9A"/>
    <w:rsid w:val="00BD6C48"/>
    <w:rsid w:val="00BF4DF5"/>
    <w:rsid w:val="00C66C25"/>
    <w:rsid w:val="00C9795A"/>
    <w:rsid w:val="00CC3B13"/>
    <w:rsid w:val="00CD7B55"/>
    <w:rsid w:val="00CE6713"/>
    <w:rsid w:val="00D01B95"/>
    <w:rsid w:val="00D12ABE"/>
    <w:rsid w:val="00DC3A6D"/>
    <w:rsid w:val="00DE15EA"/>
    <w:rsid w:val="00E030FF"/>
    <w:rsid w:val="00E4190B"/>
    <w:rsid w:val="00E95986"/>
    <w:rsid w:val="00EA3955"/>
    <w:rsid w:val="00EB1EE6"/>
    <w:rsid w:val="00EF55E8"/>
    <w:rsid w:val="00F66A18"/>
    <w:rsid w:val="00F93B7A"/>
    <w:rsid w:val="00FD4476"/>
    <w:rsid w:val="0FA90668"/>
    <w:rsid w:val="1296727F"/>
    <w:rsid w:val="1EFD0FBB"/>
    <w:rsid w:val="26292CBC"/>
    <w:rsid w:val="43EC59A3"/>
    <w:rsid w:val="720B2E93"/>
    <w:rsid w:val="73EC73FF"/>
    <w:rsid w:val="77CE5359"/>
    <w:rsid w:val="7CF3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HTSC</Company>
  <Pages>6</Pages>
  <Words>2367</Words>
  <Characters>2477</Characters>
  <Lines>19</Lines>
  <Paragraphs>5</Paragraphs>
  <TotalTime>0</TotalTime>
  <ScaleCrop>false</ScaleCrop>
  <LinksUpToDate>false</LinksUpToDate>
  <CharactersWithSpaces>2610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2025-03-27T08:47:00Z</dcterms:created>
  <dc:creator>014244</dc:creator>
  <cp:lastModifiedBy>chaos</cp:lastModifiedBy>
  <dcterms:modified xsi:type="dcterms:W3CDTF">2025-06-26T13:08:52Z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fileWhereFroms">
    <vt:lpwstr>PpjeLB1gRN0lwrPqMaCTkmqSU7wSDXZXC0f3v4ASKhCNbgW3Uze4C6LxsGu8NFzuqsnu9l1wuXq05vXzOn3wKmOVI9KD5lVcvE5+XjbqqruL1Kex5PfDuKQOg5o6epURpTfP/dk98wL0gSLKiNPuw//c1eLX5h+fq6Bsbvaco3AOe2KgWtW4wSKfbd+fYrvs3eR97rdk/XrbuIT0iR91O5n4zNVovYVqoTTeTwsg1f6f16wXvoq7Qln/FknWicg</vt:lpwstr>
  </property>
  <property fmtid="{D5CDD505-2E9C-101B-9397-08002B2CF9AE}" pid="4" name="ICV">
    <vt:lpwstr>2EF97335AB3046BAB17C4B8A1CCB70FF_13</vt:lpwstr>
  </property>
</Properties>
</file>